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696"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142"/>
        <w:gridCol w:w="5670"/>
        <w:gridCol w:w="851"/>
        <w:gridCol w:w="33"/>
      </w:tblGrid>
      <w:tr w:rsidR="00B373BF" w:rsidTr="00B373BF">
        <w:trPr>
          <w:gridAfter w:val="1"/>
          <w:wAfter w:w="33" w:type="dxa"/>
        </w:trPr>
        <w:tc>
          <w:tcPr>
            <w:tcW w:w="2142" w:type="dxa"/>
            <w:hideMark/>
          </w:tcPr>
          <w:bookmarkStart w:id="0" w:name="_GoBack"/>
          <w:bookmarkEnd w:id="0"/>
          <w:p w:rsidR="00B373BF" w:rsidRDefault="00AE36DD">
            <w:pPr>
              <w:rPr>
                <w:b/>
                <w:bCs/>
                <w:noProof w:val="0"/>
                <w:sz w:val="28"/>
                <w:szCs w:val="28"/>
                <w:u w:val="single"/>
              </w:rPr>
            </w:pPr>
            <w:sdt>
              <w:sdtPr>
                <w:rPr>
                  <w:b/>
                  <w:bCs/>
                  <w:sz w:val="28"/>
                  <w:szCs w:val="28"/>
                  <w:u w:val="single"/>
                  <w:rtl/>
                </w:rPr>
                <w:alias w:val="167"/>
                <w:tag w:val="167"/>
                <w:id w:val="272289708"/>
                <w:placeholder>
                  <w:docPart w:val="A94D82C4FCEE45059A54B2CE4C5065C7"/>
                </w:placeholder>
                <w:text w:multiLine="1"/>
              </w:sdtPr>
              <w:sdtEndPr/>
              <w:sdtContent>
                <w:r w:rsidR="00B373BF">
                  <w:rPr>
                    <w:b/>
                    <w:bCs/>
                    <w:sz w:val="28"/>
                    <w:szCs w:val="28"/>
                    <w:u w:val="single"/>
                    <w:rtl/>
                  </w:rPr>
                  <w:t>התובע:</w:t>
                </w:r>
              </w:sdtContent>
            </w:sdt>
          </w:p>
        </w:tc>
        <w:tc>
          <w:tcPr>
            <w:tcW w:w="5670" w:type="dxa"/>
            <w:hideMark/>
          </w:tcPr>
          <w:p w:rsidR="00B373BF" w:rsidRDefault="00B373BF" w:rsidP="004B2786">
            <w:pPr>
              <w:rPr>
                <w:rtl/>
              </w:rPr>
            </w:pPr>
            <w:r>
              <w:rPr>
                <w:rFonts w:hint="cs"/>
                <w:b/>
                <w:bCs/>
                <w:sz w:val="28"/>
                <w:szCs w:val="28"/>
                <w:rtl/>
              </w:rPr>
              <w:t xml:space="preserve"> </w:t>
            </w:r>
            <w:sdt>
              <w:sdtPr>
                <w:rPr>
                  <w:b/>
                  <w:bCs/>
                  <w:sz w:val="28"/>
                  <w:szCs w:val="28"/>
                  <w:rtl/>
                </w:rPr>
                <w:alias w:val="825"/>
                <w:tag w:val="825"/>
                <w:id w:val="1180232435"/>
                <w:text w:multiLine="1"/>
              </w:sdtPr>
              <w:sdtEndPr/>
              <w:sdtContent>
                <w:r w:rsidR="004B2786">
                  <w:rPr>
                    <w:b/>
                    <w:bCs/>
                    <w:sz w:val="28"/>
                    <w:szCs w:val="28"/>
                    <w:rtl/>
                  </w:rPr>
                  <w:t>ב</w:t>
                </w:r>
                <w:r w:rsidR="004B2786">
                  <w:rPr>
                    <w:rFonts w:hint="cs"/>
                    <w:b/>
                    <w:bCs/>
                    <w:sz w:val="28"/>
                    <w:szCs w:val="28"/>
                    <w:rtl/>
                  </w:rPr>
                  <w:t xml:space="preserve">.ט. </w:t>
                </w:r>
              </w:sdtContent>
            </w:sdt>
            <w:r>
              <w:rPr>
                <w:rFonts w:hint="cs"/>
                <w:b/>
                <w:bCs/>
                <w:sz w:val="28"/>
                <w:szCs w:val="28"/>
                <w:rtl/>
              </w:rPr>
              <w:t xml:space="preserve"> </w:t>
            </w:r>
            <w:sdt>
              <w:sdtPr>
                <w:rPr>
                  <w:rFonts w:cs="Times New Roman"/>
                  <w:b/>
                  <w:bCs/>
                  <w:sz w:val="28"/>
                  <w:szCs w:val="28"/>
                  <w:rtl/>
                </w:rPr>
                <w:alias w:val="2686"/>
                <w:tag w:val="2686"/>
                <w:id w:val="2135055847"/>
                <w:placeholder>
                  <w:docPart w:val="20494D8FF4DE4981877F82F411FD7E17"/>
                </w:placeholder>
                <w:text w:multiLine="1"/>
              </w:sdtPr>
              <w:sdtEndPr/>
              <w:sdtContent>
                <w:r>
                  <w:rPr>
                    <w:b/>
                    <w:bCs/>
                    <w:sz w:val="28"/>
                    <w:szCs w:val="28"/>
                    <w:rtl/>
                  </w:rPr>
                  <w:t>ת"ז</w:t>
                </w:r>
              </w:sdtContent>
            </w:sdt>
            <w:r>
              <w:rPr>
                <w:rFonts w:hint="cs"/>
                <w:b/>
                <w:bCs/>
                <w:sz w:val="28"/>
                <w:szCs w:val="28"/>
                <w:rtl/>
              </w:rPr>
              <w:t xml:space="preserve">, </w:t>
            </w:r>
            <w:sdt>
              <w:sdtPr>
                <w:rPr>
                  <w:rFonts w:cs="Times New Roman"/>
                  <w:b/>
                  <w:bCs/>
                  <w:sz w:val="28"/>
                  <w:szCs w:val="28"/>
                  <w:rtl/>
                </w:rPr>
                <w:alias w:val="2688"/>
                <w:tag w:val="2688"/>
                <w:id w:val="1539318755"/>
                <w:placeholder>
                  <w:docPart w:val="E3ABCCC3627044F0AEB088B3A8FC58CF"/>
                </w:placeholder>
                <w:text w:multiLine="1"/>
              </w:sdtPr>
              <w:sdtEndPr/>
              <w:sdtContent>
                <w:r w:rsidR="004B2786">
                  <w:rPr>
                    <w:rFonts w:hint="cs"/>
                    <w:b/>
                    <w:bCs/>
                    <w:sz w:val="28"/>
                    <w:szCs w:val="28"/>
                  </w:rPr>
                  <w:t>XXX</w:t>
                </w:r>
              </w:sdtContent>
            </w:sdt>
          </w:p>
        </w:tc>
        <w:tc>
          <w:tcPr>
            <w:tcW w:w="851" w:type="dxa"/>
          </w:tcPr>
          <w:p w:rsidR="00B373BF" w:rsidRDefault="00B373BF">
            <w:pPr>
              <w:rPr>
                <w:b/>
                <w:bCs/>
                <w:sz w:val="28"/>
                <w:szCs w:val="28"/>
              </w:rPr>
            </w:pPr>
          </w:p>
        </w:tc>
      </w:tr>
      <w:tr w:rsidR="00B373BF" w:rsidTr="00B373BF">
        <w:tc>
          <w:tcPr>
            <w:tcW w:w="8696" w:type="dxa"/>
            <w:gridSpan w:val="4"/>
          </w:tcPr>
          <w:p w:rsidR="00B373BF" w:rsidRDefault="00B373BF">
            <w:pPr>
              <w:jc w:val="center"/>
              <w:rPr>
                <w:rFonts w:ascii="Arial" w:hAnsi="Arial"/>
                <w:b/>
                <w:bCs/>
                <w:sz w:val="20"/>
                <w:szCs w:val="20"/>
                <w:rtl/>
              </w:rPr>
            </w:pPr>
          </w:p>
          <w:p w:rsidR="00B373BF" w:rsidRDefault="00B373BF">
            <w:pPr>
              <w:jc w:val="center"/>
              <w:rPr>
                <w:rFonts w:ascii="Arial" w:hAnsi="Arial"/>
                <w:b/>
                <w:bCs/>
                <w:sz w:val="28"/>
                <w:szCs w:val="28"/>
                <w:rtl/>
              </w:rPr>
            </w:pPr>
            <w:r>
              <w:rPr>
                <w:rFonts w:ascii="Arial" w:hAnsi="Arial" w:hint="cs"/>
                <w:b/>
                <w:bCs/>
                <w:sz w:val="28"/>
                <w:szCs w:val="28"/>
                <w:rtl/>
              </w:rPr>
              <w:t>נ ג ד</w:t>
            </w:r>
          </w:p>
          <w:p w:rsidR="00B373BF" w:rsidRDefault="00B373BF">
            <w:pPr>
              <w:jc w:val="center"/>
              <w:rPr>
                <w:rFonts w:ascii="Arial" w:hAnsi="Arial"/>
                <w:b/>
                <w:bCs/>
                <w:sz w:val="10"/>
                <w:szCs w:val="10"/>
                <w:rtl/>
              </w:rPr>
            </w:pPr>
          </w:p>
        </w:tc>
      </w:tr>
      <w:tr w:rsidR="00B373BF" w:rsidTr="00B373BF">
        <w:trPr>
          <w:trHeight w:val="768"/>
        </w:trPr>
        <w:sdt>
          <w:sdtPr>
            <w:rPr>
              <w:rFonts w:cs="Times New Roman" w:hint="cs"/>
              <w:b/>
              <w:bCs/>
              <w:sz w:val="28"/>
              <w:szCs w:val="28"/>
              <w:u w:val="single"/>
              <w:rtl/>
            </w:rPr>
            <w:alias w:val="308"/>
            <w:tag w:val="308"/>
            <w:id w:val="-220751215"/>
            <w:placeholder>
              <w:docPart w:val="1AA4C770DC0A43829372B751EEC09483"/>
            </w:placeholder>
            <w:text w:multiLine="1"/>
          </w:sdtPr>
          <w:sdtEndPr/>
          <w:sdtContent>
            <w:tc>
              <w:tcPr>
                <w:tcW w:w="2142" w:type="dxa"/>
                <w:hideMark/>
              </w:tcPr>
              <w:p w:rsidR="00B373BF" w:rsidRDefault="00B373BF">
                <w:pPr>
                  <w:ind w:left="26"/>
                  <w:rPr>
                    <w:rFonts w:cs="Times New Roman"/>
                    <w:b/>
                    <w:bCs/>
                    <w:sz w:val="28"/>
                    <w:szCs w:val="28"/>
                    <w:u w:val="single"/>
                  </w:rPr>
                </w:pPr>
                <w:r>
                  <w:rPr>
                    <w:b/>
                    <w:bCs/>
                    <w:sz w:val="28"/>
                    <w:szCs w:val="28"/>
                    <w:u w:val="single"/>
                    <w:rtl/>
                  </w:rPr>
                  <w:t>ה</w:t>
                </w:r>
                <w:r>
                  <w:rPr>
                    <w:rFonts w:hint="cs"/>
                    <w:b/>
                    <w:bCs/>
                    <w:sz w:val="28"/>
                    <w:szCs w:val="28"/>
                    <w:u w:val="single"/>
                    <w:rtl/>
                  </w:rPr>
                  <w:t>נתבעת:</w:t>
                </w:r>
              </w:p>
            </w:tc>
          </w:sdtContent>
        </w:sdt>
        <w:tc>
          <w:tcPr>
            <w:tcW w:w="5670" w:type="dxa"/>
            <w:hideMark/>
          </w:tcPr>
          <w:p w:rsidR="00B373BF" w:rsidRDefault="00AE36DD" w:rsidP="004B2786">
            <w:pPr>
              <w:rPr>
                <w:rFonts w:ascii="David" w:eastAsia="David" w:hAnsi="David"/>
                <w:b/>
                <w:bCs/>
                <w:sz w:val="28"/>
                <w:szCs w:val="28"/>
                <w:rtl/>
              </w:rPr>
            </w:pPr>
            <w:sdt>
              <w:sdtPr>
                <w:rPr>
                  <w:b/>
                  <w:bCs/>
                  <w:sz w:val="28"/>
                  <w:szCs w:val="28"/>
                  <w:rtl/>
                </w:rPr>
                <w:alias w:val="1266"/>
                <w:tag w:val="1266"/>
                <w:id w:val="348377563"/>
                <w:text w:multiLine="1"/>
              </w:sdtPr>
              <w:sdtEndPr/>
              <w:sdtContent>
                <w:r w:rsidR="004B2786">
                  <w:rPr>
                    <w:rFonts w:hint="cs"/>
                    <w:b/>
                    <w:bCs/>
                    <w:sz w:val="28"/>
                    <w:szCs w:val="28"/>
                    <w:rtl/>
                  </w:rPr>
                  <w:t>ה.ט.</w:t>
                </w:r>
              </w:sdtContent>
            </w:sdt>
            <w:r w:rsidR="00B373BF">
              <w:rPr>
                <w:rFonts w:hint="cs"/>
                <w:b/>
                <w:bCs/>
                <w:sz w:val="28"/>
                <w:szCs w:val="28"/>
                <w:rtl/>
              </w:rPr>
              <w:t xml:space="preserve"> </w:t>
            </w:r>
            <w:sdt>
              <w:sdtPr>
                <w:rPr>
                  <w:rFonts w:cs="Times New Roman"/>
                  <w:b/>
                  <w:bCs/>
                  <w:sz w:val="28"/>
                  <w:szCs w:val="28"/>
                  <w:rtl/>
                </w:rPr>
                <w:alias w:val="2687"/>
                <w:tag w:val="2687"/>
                <w:id w:val="249321546"/>
                <w:placeholder>
                  <w:docPart w:val="014F4FF2DA1E4CF3B4951360E9085B77"/>
                </w:placeholder>
                <w:text w:multiLine="1"/>
              </w:sdtPr>
              <w:sdtEndPr/>
              <w:sdtContent>
                <w:r w:rsidR="00B373BF">
                  <w:rPr>
                    <w:b/>
                    <w:bCs/>
                    <w:sz w:val="28"/>
                    <w:szCs w:val="28"/>
                    <w:rtl/>
                  </w:rPr>
                  <w:t>ת"ז</w:t>
                </w:r>
              </w:sdtContent>
            </w:sdt>
            <w:r w:rsidR="00B373BF">
              <w:rPr>
                <w:rFonts w:hint="cs"/>
                <w:b/>
                <w:bCs/>
                <w:sz w:val="28"/>
                <w:szCs w:val="28"/>
                <w:rtl/>
              </w:rPr>
              <w:t xml:space="preserve">, </w:t>
            </w:r>
            <w:sdt>
              <w:sdtPr>
                <w:rPr>
                  <w:rFonts w:cs="Times New Roman"/>
                  <w:b/>
                  <w:bCs/>
                  <w:sz w:val="28"/>
                  <w:szCs w:val="28"/>
                  <w:rtl/>
                </w:rPr>
                <w:alias w:val="2689"/>
                <w:tag w:val="2689"/>
                <w:id w:val="-1679118125"/>
                <w:placeholder>
                  <w:docPart w:val="476B4A279C7644AF9CA2C883DD1721CB"/>
                </w:placeholder>
                <w:text w:multiLine="1"/>
              </w:sdtPr>
              <w:sdtEndPr/>
              <w:sdtContent>
                <w:r w:rsidR="004B2786">
                  <w:rPr>
                    <w:rFonts w:hint="cs"/>
                    <w:b/>
                    <w:bCs/>
                    <w:sz w:val="28"/>
                    <w:szCs w:val="28"/>
                  </w:rPr>
                  <w:t>XXX</w:t>
                </w:r>
              </w:sdtContent>
            </w:sdt>
          </w:p>
        </w:tc>
        <w:tc>
          <w:tcPr>
            <w:tcW w:w="884" w:type="dxa"/>
            <w:gridSpan w:val="2"/>
          </w:tcPr>
          <w:p w:rsidR="00B373BF" w:rsidRDefault="00B373BF">
            <w:pPr>
              <w:rPr>
                <w:b/>
                <w:bCs/>
                <w:sz w:val="28"/>
                <w:szCs w:val="28"/>
                <w:rtl/>
              </w:rPr>
            </w:pPr>
          </w:p>
        </w:tc>
      </w:tr>
    </w:tbl>
    <w:p w:rsidR="00B373BF" w:rsidRDefault="00B373BF" w:rsidP="00B373BF">
      <w:pPr>
        <w:rPr>
          <w:rFonts w:ascii="Arial" w:hAnsi="Arial"/>
          <w:b/>
          <w:bCs/>
          <w:sz w:val="26"/>
          <w:u w:val="single"/>
          <w:rtl/>
        </w:rPr>
      </w:pPr>
    </w:p>
    <w:p w:rsidR="00B373BF" w:rsidRDefault="00B373BF" w:rsidP="00B373BF">
      <w:pPr>
        <w:rPr>
          <w:rFonts w:ascii="David" w:hAnsi="David"/>
          <w:rtl/>
        </w:rPr>
      </w:pPr>
      <w:r>
        <w:rPr>
          <w:rFonts w:ascii="Arial" w:hAnsi="Arial" w:hint="cs"/>
          <w:b/>
          <w:bCs/>
          <w:sz w:val="26"/>
          <w:u w:val="single"/>
          <w:rtl/>
        </w:rPr>
        <w:t>נוכחים</w:t>
      </w:r>
      <w:r>
        <w:rPr>
          <w:rFonts w:ascii="Arial" w:hAnsi="Arial" w:hint="cs"/>
          <w:b/>
          <w:bCs/>
          <w:sz w:val="26"/>
          <w:rtl/>
        </w:rPr>
        <w:t xml:space="preserve">: </w:t>
      </w:r>
    </w:p>
    <w:p w:rsidR="00B373BF" w:rsidRDefault="00B373BF" w:rsidP="00B373BF">
      <w:pPr>
        <w:rPr>
          <w:b/>
          <w:bCs/>
          <w:rtl/>
        </w:rPr>
      </w:pPr>
      <w:r>
        <w:rPr>
          <w:rFonts w:hint="cs"/>
          <w:b/>
          <w:bCs/>
          <w:rtl/>
        </w:rPr>
        <w:t>התובע בעצמו ובאי כוחו עו"ד רעות בר ועו"ד מתן גור</w:t>
      </w:r>
    </w:p>
    <w:p w:rsidR="00B373BF" w:rsidRDefault="00B373BF" w:rsidP="00B373BF">
      <w:pPr>
        <w:rPr>
          <w:b/>
          <w:bCs/>
          <w:rtl/>
        </w:rPr>
      </w:pPr>
      <w:r>
        <w:rPr>
          <w:rFonts w:hint="cs"/>
          <w:b/>
          <w:bCs/>
          <w:rtl/>
        </w:rPr>
        <w:t xml:space="preserve">הנתבעת בעצמה ובאת כוחה עו"ד איילת קיטיביץ'- קורן </w:t>
      </w:r>
    </w:p>
    <w:p w:rsidR="00B373BF" w:rsidRDefault="00B373BF" w:rsidP="00B373BF">
      <w:pPr>
        <w:rPr>
          <w:sz w:val="6"/>
          <w:szCs w:val="6"/>
          <w:rtl/>
        </w:rPr>
      </w:pPr>
      <w:r>
        <w:rPr>
          <w:rFonts w:hint="cs"/>
          <w:sz w:val="6"/>
          <w:szCs w:val="6"/>
          <w:rtl/>
        </w:rPr>
        <w:t>&lt;#1#&gt;</w:t>
      </w:r>
    </w:p>
    <w:p w:rsidR="00B373BF" w:rsidRDefault="00B373BF" w:rsidP="00B373BF">
      <w:pPr>
        <w:pStyle w:val="12"/>
        <w:rPr>
          <w:b w:val="0"/>
          <w:bCs w:val="0"/>
          <w:u w:val="none"/>
          <w:rtl/>
        </w:rPr>
      </w:pPr>
    </w:p>
    <w:p w:rsidR="00B373BF" w:rsidRDefault="00B373BF" w:rsidP="00B373BF">
      <w:pPr>
        <w:pStyle w:val="12"/>
        <w:rPr>
          <w:b w:val="0"/>
          <w:bCs w:val="0"/>
          <w:u w:val="none"/>
          <w:rtl/>
        </w:rPr>
      </w:pPr>
    </w:p>
    <w:p w:rsidR="00B373BF" w:rsidRDefault="00B373BF" w:rsidP="00B373BF">
      <w:pPr>
        <w:pStyle w:val="12"/>
        <w:jc w:val="center"/>
        <w:rPr>
          <w:sz w:val="32"/>
          <w:szCs w:val="32"/>
          <w:rtl/>
        </w:rPr>
      </w:pPr>
      <w:r>
        <w:rPr>
          <w:sz w:val="32"/>
          <w:szCs w:val="32"/>
          <w:rtl/>
        </w:rPr>
        <w:t>פרוטוקול</w:t>
      </w:r>
    </w:p>
    <w:p w:rsidR="00B373BF" w:rsidRDefault="00B373BF" w:rsidP="00B373BF">
      <w:pPr>
        <w:rPr>
          <w:rtl/>
        </w:rPr>
      </w:pPr>
    </w:p>
    <w:p w:rsidR="004B2786" w:rsidRPr="004B2786" w:rsidRDefault="004B2786" w:rsidP="004B2786">
      <w:pPr>
        <w:spacing w:line="360" w:lineRule="auto"/>
        <w:rPr>
          <w:rFonts w:ascii="David" w:hAnsi="David"/>
          <w:b/>
          <w:bCs/>
          <w:rtl/>
        </w:rPr>
      </w:pPr>
      <w:r w:rsidRPr="004B2786">
        <w:rPr>
          <w:rFonts w:ascii="David" w:hAnsi="David" w:hint="cs"/>
          <w:b/>
          <w:bCs/>
          <w:rtl/>
        </w:rPr>
        <w:t>...</w:t>
      </w:r>
    </w:p>
    <w:p w:rsidR="004B2786" w:rsidRPr="004B2786" w:rsidRDefault="004B2786" w:rsidP="004B2786">
      <w:pPr>
        <w:spacing w:line="360" w:lineRule="auto"/>
        <w:rPr>
          <w:rFonts w:ascii="David" w:hAnsi="David"/>
          <w:b/>
          <w:bCs/>
          <w:rtl/>
        </w:rPr>
      </w:pPr>
      <w:r w:rsidRPr="004B2786">
        <w:rPr>
          <w:rFonts w:ascii="David" w:hAnsi="David" w:hint="cs"/>
          <w:b/>
          <w:bCs/>
          <w:rtl/>
        </w:rPr>
        <w:t>...</w:t>
      </w:r>
    </w:p>
    <w:p w:rsidR="004B2786" w:rsidRPr="004B2786" w:rsidRDefault="004B2786" w:rsidP="004B2786">
      <w:pPr>
        <w:spacing w:line="360" w:lineRule="auto"/>
        <w:rPr>
          <w:rFonts w:ascii="David" w:hAnsi="David"/>
          <w:b/>
          <w:bCs/>
          <w:rtl/>
        </w:rPr>
      </w:pPr>
      <w:r w:rsidRPr="004B2786">
        <w:rPr>
          <w:rFonts w:ascii="David" w:hAnsi="David" w:hint="cs"/>
          <w:b/>
          <w:bCs/>
          <w:rtl/>
        </w:rPr>
        <w:t>...</w:t>
      </w:r>
    </w:p>
    <w:p w:rsidR="004B2786" w:rsidRDefault="004B2786" w:rsidP="004B2786">
      <w:pPr>
        <w:spacing w:line="360" w:lineRule="auto"/>
        <w:jc w:val="center"/>
        <w:rPr>
          <w:rFonts w:ascii="David" w:hAnsi="David"/>
          <w:b/>
          <w:bCs/>
          <w:u w:val="single"/>
          <w:rtl/>
        </w:rPr>
      </w:pPr>
    </w:p>
    <w:p w:rsidR="00B373BF" w:rsidRPr="004B2786" w:rsidRDefault="00B373BF" w:rsidP="004B2786">
      <w:pPr>
        <w:spacing w:line="360" w:lineRule="auto"/>
        <w:jc w:val="center"/>
        <w:rPr>
          <w:rFonts w:ascii="David" w:hAnsi="David"/>
          <w:b/>
          <w:bCs/>
          <w:sz w:val="28"/>
          <w:szCs w:val="28"/>
          <w:u w:val="single"/>
        </w:rPr>
      </w:pPr>
      <w:r w:rsidRPr="004B2786">
        <w:rPr>
          <w:rFonts w:ascii="David" w:hAnsi="David"/>
          <w:b/>
          <w:bCs/>
          <w:sz w:val="28"/>
          <w:szCs w:val="28"/>
          <w:u w:val="single"/>
          <w:rtl/>
        </w:rPr>
        <w:t>פסק דין</w:t>
      </w:r>
    </w:p>
    <w:p w:rsidR="00B373BF" w:rsidRPr="004B2786" w:rsidRDefault="00B373BF" w:rsidP="004B2786">
      <w:pPr>
        <w:spacing w:line="360" w:lineRule="auto"/>
        <w:jc w:val="both"/>
        <w:rPr>
          <w:rFonts w:ascii="David" w:hAnsi="David"/>
          <w:rtl/>
        </w:rPr>
      </w:pPr>
      <w:r w:rsidRPr="004B2786">
        <w:rPr>
          <w:rFonts w:ascii="David" w:hAnsi="David"/>
          <w:rtl/>
        </w:rPr>
        <w:t>התובענה הוגשה כתובענה לאכיפת הסכם  שקיבל תוקף של פסק דין בבית משפט זה ביום 20.3.23 במסגרת תה"ס 61239-02-23.</w:t>
      </w:r>
    </w:p>
    <w:p w:rsidR="00B373BF" w:rsidRPr="004B2786" w:rsidRDefault="00B373BF" w:rsidP="004B2786">
      <w:pPr>
        <w:spacing w:line="360" w:lineRule="auto"/>
        <w:jc w:val="both"/>
        <w:rPr>
          <w:rFonts w:ascii="David" w:hAnsi="David"/>
          <w:rtl/>
        </w:rPr>
      </w:pPr>
    </w:p>
    <w:p w:rsidR="00B373BF" w:rsidRPr="004B2786" w:rsidRDefault="00B373BF" w:rsidP="004B2786">
      <w:pPr>
        <w:spacing w:line="360" w:lineRule="auto"/>
        <w:jc w:val="both"/>
        <w:rPr>
          <w:rFonts w:ascii="David" w:hAnsi="David"/>
          <w:rtl/>
        </w:rPr>
      </w:pPr>
      <w:r w:rsidRPr="004B2786">
        <w:rPr>
          <w:rFonts w:ascii="David" w:hAnsi="David"/>
          <w:rtl/>
        </w:rPr>
        <w:lastRenderedPageBreak/>
        <w:t>התביעה מתייחסת לסעיף 12 בהסכם שבו הצהירו ההורים והתחייבו שניהם לא לחשוף את הילדים לכל גורם בעל השפעה שלילית או גורם אשר עלול להזיק לילדים מכל בחינה שהיא, זאת מאחר שלטענת האב הסיע את הילדים בן זוגה של האם ללא כסאות בטיחות, כשהרכב  איננו מבוטח  ושבין היתר אותו בן זוג אף נוהג להשתמש בסמים.  הסעד שהתבקש, היה אכיפת ההסכם, ותו לא.</w:t>
      </w:r>
    </w:p>
    <w:p w:rsidR="00B373BF" w:rsidRPr="004B2786" w:rsidRDefault="00B373BF" w:rsidP="004B2786">
      <w:pPr>
        <w:spacing w:line="360" w:lineRule="auto"/>
        <w:jc w:val="both"/>
        <w:rPr>
          <w:rFonts w:ascii="David" w:hAnsi="David"/>
          <w:rtl/>
        </w:rPr>
      </w:pPr>
    </w:p>
    <w:p w:rsidR="00B373BF" w:rsidRPr="004B2786" w:rsidRDefault="00B373BF" w:rsidP="004B2786">
      <w:pPr>
        <w:spacing w:line="360" w:lineRule="auto"/>
        <w:jc w:val="both"/>
        <w:rPr>
          <w:rFonts w:ascii="David" w:hAnsi="David"/>
          <w:rtl/>
        </w:rPr>
      </w:pPr>
      <w:r w:rsidRPr="004B2786">
        <w:rPr>
          <w:rFonts w:ascii="David" w:hAnsi="David"/>
          <w:rtl/>
        </w:rPr>
        <w:t>בכתב ההגנה בין היתר הבהירה הנתבעת שבסמוך לאותם המועדים הפסיקה להסתייע בבן הזוג וטענה שהתובע חוקר את הקטינים ויורד לחייה.</w:t>
      </w:r>
    </w:p>
    <w:p w:rsidR="00B373BF" w:rsidRPr="004B2786" w:rsidRDefault="00B373BF" w:rsidP="004B2786">
      <w:pPr>
        <w:spacing w:line="360" w:lineRule="auto"/>
        <w:jc w:val="both"/>
        <w:rPr>
          <w:rFonts w:ascii="David" w:hAnsi="David"/>
          <w:rtl/>
        </w:rPr>
      </w:pPr>
    </w:p>
    <w:p w:rsidR="00B373BF" w:rsidRPr="004B2786" w:rsidRDefault="00B373BF" w:rsidP="004B2786">
      <w:pPr>
        <w:spacing w:line="360" w:lineRule="auto"/>
        <w:jc w:val="both"/>
        <w:rPr>
          <w:rFonts w:ascii="David" w:hAnsi="David"/>
          <w:rtl/>
        </w:rPr>
      </w:pPr>
      <w:r w:rsidRPr="004B2786">
        <w:rPr>
          <w:rFonts w:ascii="David" w:hAnsi="David"/>
          <w:rtl/>
        </w:rPr>
        <w:t>בדיון היום הבהירה הנתבעת כי מי שמסייע לה מעת לעת בהסעת הקטינים, באמצעות כסאות בטיחות שאף רכשה, הוא בן הדוד שלה והתובע הבהיר שאין לשיטתו כל בעיה בהסעת הקטינים ובלבד שזו הסעה בטוחה וכחוק.</w:t>
      </w:r>
    </w:p>
    <w:p w:rsidR="00B373BF" w:rsidRPr="004B2786" w:rsidRDefault="00B373BF" w:rsidP="004B2786">
      <w:pPr>
        <w:spacing w:line="360" w:lineRule="auto"/>
        <w:jc w:val="both"/>
        <w:rPr>
          <w:rFonts w:ascii="David" w:hAnsi="David"/>
          <w:rtl/>
        </w:rPr>
      </w:pPr>
    </w:p>
    <w:p w:rsidR="00B373BF" w:rsidRPr="004B2786" w:rsidRDefault="00B373BF" w:rsidP="004B2786">
      <w:pPr>
        <w:spacing w:line="360" w:lineRule="auto"/>
        <w:jc w:val="both"/>
        <w:rPr>
          <w:rFonts w:ascii="David" w:hAnsi="David"/>
          <w:rtl/>
        </w:rPr>
      </w:pPr>
      <w:r w:rsidRPr="004B2786">
        <w:rPr>
          <w:rFonts w:ascii="David" w:hAnsi="David"/>
          <w:rtl/>
        </w:rPr>
        <w:t>במיוחד בהתחשב בסעד הערטילאי שנתבע בכתב התביעה, כמו גם באופיו המאוד רחב וכוללני של סעיף 12 להסכם שלאורו הוגשה התובענה, אני סבור שהדרך היעילה והצודקת – הן בראי מנהל שיפוטי תקין והן בראי הצדדים שלפניי – לבחינת טענותיהם הקונקרטיות של הצדדים, היא בהפנייתם למנגנון של תיאום הורי.</w:t>
      </w:r>
    </w:p>
    <w:p w:rsidR="00B373BF" w:rsidRPr="004B2786" w:rsidRDefault="00B373BF" w:rsidP="004B2786">
      <w:pPr>
        <w:spacing w:line="360" w:lineRule="auto"/>
        <w:jc w:val="both"/>
        <w:rPr>
          <w:rFonts w:ascii="David" w:hAnsi="David"/>
          <w:rtl/>
        </w:rPr>
      </w:pPr>
    </w:p>
    <w:p w:rsidR="00B373BF" w:rsidRPr="004B2786" w:rsidRDefault="00B373BF" w:rsidP="004B2786">
      <w:pPr>
        <w:spacing w:line="360" w:lineRule="auto"/>
        <w:jc w:val="both"/>
        <w:rPr>
          <w:rFonts w:ascii="David" w:hAnsi="David"/>
          <w:rtl/>
        </w:rPr>
      </w:pPr>
      <w:r w:rsidRPr="004B2786">
        <w:rPr>
          <w:rFonts w:ascii="David" w:hAnsi="David"/>
          <w:rtl/>
        </w:rPr>
        <w:t xml:space="preserve">סעיף 7 </w:t>
      </w:r>
      <w:r w:rsidRPr="004B2786">
        <w:rPr>
          <w:rFonts w:ascii="David" w:hAnsi="David"/>
          <w:b/>
          <w:bCs/>
          <w:rtl/>
        </w:rPr>
        <w:t>לחוק בית המשפט לענייני משפחה, התשנ"ה- 1995</w:t>
      </w:r>
      <w:r w:rsidRPr="004B2786">
        <w:rPr>
          <w:rFonts w:ascii="David" w:hAnsi="David"/>
          <w:rtl/>
        </w:rPr>
        <w:t xml:space="preserve"> מורנו בסיפא הימנו כי בית המשפט רשאי להורות על ביצוע סוגיות הקשורות עם תובענה בעניינו של קטין בדרך אחרת הנראית לו יעילה וצודקת יותר בנסיבות העניין. </w:t>
      </w:r>
    </w:p>
    <w:p w:rsidR="00B373BF" w:rsidRPr="004B2786" w:rsidRDefault="00B373BF" w:rsidP="004B2786">
      <w:pPr>
        <w:spacing w:line="360" w:lineRule="auto"/>
        <w:jc w:val="both"/>
        <w:rPr>
          <w:rFonts w:ascii="David" w:hAnsi="David"/>
          <w:rtl/>
        </w:rPr>
      </w:pPr>
    </w:p>
    <w:p w:rsidR="00B373BF" w:rsidRPr="004B2786" w:rsidRDefault="00B373BF" w:rsidP="004B2786">
      <w:pPr>
        <w:spacing w:line="360" w:lineRule="auto"/>
        <w:jc w:val="both"/>
        <w:rPr>
          <w:rFonts w:ascii="David" w:hAnsi="David"/>
          <w:rtl/>
        </w:rPr>
      </w:pPr>
      <w:r w:rsidRPr="004B2786">
        <w:rPr>
          <w:rFonts w:ascii="David" w:hAnsi="David"/>
          <w:rtl/>
        </w:rPr>
        <w:t xml:space="preserve">אחריותם של הורים מכח </w:t>
      </w:r>
      <w:r w:rsidRPr="004B2786">
        <w:rPr>
          <w:rFonts w:ascii="David" w:hAnsi="David"/>
          <w:b/>
          <w:bCs/>
          <w:rtl/>
        </w:rPr>
        <w:t>חוק הכשרות המשפטית והאפוטרופסות, התשכ"ב-1962</w:t>
      </w:r>
      <w:r w:rsidRPr="004B2786">
        <w:rPr>
          <w:rFonts w:ascii="David" w:hAnsi="David"/>
          <w:rtl/>
        </w:rPr>
        <w:t xml:space="preserve"> היא לספק לילדיהם  את כל הדרוש להתפתחותם התקינה לרבות כמובן דאגה לשלומם הפיזי (השוו למשל סעיף 15 לחוק וכן סעיף 22 לחוק הנ"ל).  </w:t>
      </w:r>
    </w:p>
    <w:p w:rsidR="00B373BF" w:rsidRPr="004B2786" w:rsidRDefault="00B373BF" w:rsidP="004B2786">
      <w:pPr>
        <w:spacing w:line="360" w:lineRule="auto"/>
        <w:jc w:val="both"/>
        <w:rPr>
          <w:rFonts w:ascii="David" w:hAnsi="David"/>
          <w:rtl/>
        </w:rPr>
      </w:pPr>
    </w:p>
    <w:p w:rsidR="00B373BF" w:rsidRPr="004B2786" w:rsidRDefault="00B373BF" w:rsidP="004B2786">
      <w:pPr>
        <w:spacing w:line="360" w:lineRule="auto"/>
        <w:jc w:val="both"/>
        <w:rPr>
          <w:rFonts w:ascii="David" w:hAnsi="David"/>
          <w:rtl/>
        </w:rPr>
      </w:pPr>
      <w:r w:rsidRPr="004B2786">
        <w:rPr>
          <w:rFonts w:ascii="David" w:hAnsi="David"/>
          <w:rtl/>
        </w:rPr>
        <w:t xml:space="preserve">ההנחה שלפיה מי מההורים פועל ביודעין או מכללה לסיכון איזה מילדיו איננה בהכרח עניין להליכי ביצוע וממילא, חזקה שהורים מפעילים את שיקול דעתם ההורי כל אחד בעת שהילד שוהה אצלו. </w:t>
      </w:r>
    </w:p>
    <w:p w:rsidR="00B373BF" w:rsidRPr="004B2786" w:rsidRDefault="00B373BF" w:rsidP="004B2786">
      <w:pPr>
        <w:spacing w:line="360" w:lineRule="auto"/>
        <w:jc w:val="both"/>
        <w:rPr>
          <w:rFonts w:ascii="David" w:hAnsi="David"/>
          <w:rtl/>
        </w:rPr>
      </w:pPr>
    </w:p>
    <w:p w:rsidR="00B373BF" w:rsidRPr="004B2786" w:rsidRDefault="00B373BF" w:rsidP="004B2786">
      <w:pPr>
        <w:spacing w:line="360" w:lineRule="auto"/>
        <w:jc w:val="both"/>
        <w:rPr>
          <w:rFonts w:ascii="David" w:hAnsi="David"/>
          <w:rtl/>
        </w:rPr>
      </w:pPr>
      <w:r w:rsidRPr="004B2786">
        <w:rPr>
          <w:rFonts w:ascii="David" w:hAnsi="David"/>
          <w:rtl/>
        </w:rPr>
        <w:t>כשם שעל פי הדין הנטייה של בתי המשפט היא להתערב במשורה באוטונומיה ההורית ורק במקרים שמהם עולה כי יש הכרח והצדק לעשות כן, כך גם על הורים החיים בנפרד לבחון היטב האם ובאיזו מידה עליהם להטיל את מלוא כובד משקלם על מנת להתערב באוטונומיה ההורית של ההורה שאותה העת שוהים הקטינים אצלו. שכן פוטנציאל לנזק לקטינים איננו נובע בהכרח רק מסיכונם הפיזי כי אם גם מגידולם באווירה קונפליקטואלית מתמשכת, החושפת אותם שלא לצורך למחלוקות ההוריות, מטילה עליהם מעמסות דוגמת קונפליקט נאמנויות, וככלל איננה תורמת להתפתחותם התקינה ולאימוץ מודלים הוריים שיאפשרו להם את המשך ההתפתחות היציבה להם הם זכאים.</w:t>
      </w:r>
    </w:p>
    <w:p w:rsidR="00B373BF" w:rsidRPr="004B2786" w:rsidRDefault="00B373BF" w:rsidP="004B2786">
      <w:pPr>
        <w:spacing w:line="360" w:lineRule="auto"/>
        <w:jc w:val="both"/>
        <w:rPr>
          <w:rFonts w:ascii="David" w:hAnsi="David"/>
          <w:rtl/>
        </w:rPr>
      </w:pPr>
    </w:p>
    <w:p w:rsidR="00B373BF" w:rsidRPr="004B2786" w:rsidRDefault="00B373BF" w:rsidP="004B2786">
      <w:pPr>
        <w:spacing w:line="360" w:lineRule="auto"/>
        <w:jc w:val="both"/>
        <w:rPr>
          <w:rFonts w:ascii="David" w:hAnsi="David"/>
          <w:rtl/>
        </w:rPr>
      </w:pPr>
      <w:r w:rsidRPr="004B2786">
        <w:rPr>
          <w:rFonts w:ascii="David" w:hAnsi="David"/>
          <w:rtl/>
        </w:rPr>
        <w:t xml:space="preserve">גם התובע מבין כדבריו, כי סעד של אכיפה סעד כללי של אכיפה כפי שנתבע בכתב התביעה, איננו יכול להוביל לסיטואציה שבה יבחן בית המשפט דווקא באופן שוטף האם ואיזה מן ההורים  פועל בדרך זו או אחרת – במישרין או מכללא – לסיכון של איזה מן הילדים. </w:t>
      </w:r>
    </w:p>
    <w:p w:rsidR="00B373BF" w:rsidRPr="004B2786" w:rsidRDefault="00B373BF" w:rsidP="004B2786">
      <w:pPr>
        <w:spacing w:line="360" w:lineRule="auto"/>
        <w:jc w:val="both"/>
        <w:rPr>
          <w:rFonts w:ascii="David" w:hAnsi="David"/>
          <w:rtl/>
        </w:rPr>
      </w:pPr>
    </w:p>
    <w:p w:rsidR="00B373BF" w:rsidRPr="004B2786" w:rsidRDefault="00B373BF" w:rsidP="004B2786">
      <w:pPr>
        <w:spacing w:line="360" w:lineRule="auto"/>
        <w:jc w:val="both"/>
        <w:rPr>
          <w:rFonts w:ascii="David" w:hAnsi="David"/>
          <w:rtl/>
        </w:rPr>
      </w:pPr>
      <w:r w:rsidRPr="004B2786">
        <w:rPr>
          <w:rFonts w:ascii="David" w:hAnsi="David"/>
          <w:rtl/>
        </w:rPr>
        <w:t xml:space="preserve">במיוחד בראי תקנות 2-5 </w:t>
      </w:r>
      <w:r w:rsidRPr="004B2786">
        <w:rPr>
          <w:rFonts w:ascii="David" w:hAnsi="David"/>
          <w:b/>
          <w:bCs/>
          <w:rtl/>
        </w:rPr>
        <w:t>לתקנות סדר הדין האזרחי התשע"ט-2018</w:t>
      </w:r>
      <w:r w:rsidRPr="004B2786">
        <w:rPr>
          <w:rFonts w:ascii="David" w:hAnsi="David"/>
          <w:rtl/>
        </w:rPr>
        <w:t xml:space="preserve"> ותקנה 2 </w:t>
      </w:r>
      <w:r w:rsidRPr="004B2786">
        <w:rPr>
          <w:rFonts w:ascii="David" w:hAnsi="David"/>
          <w:b/>
          <w:bCs/>
          <w:rtl/>
        </w:rPr>
        <w:t>לתקנות בית משפט לענייני משפחה (סדרי דין)  התשפ"א -2020</w:t>
      </w:r>
      <w:r w:rsidRPr="004B2786">
        <w:rPr>
          <w:rFonts w:ascii="David" w:hAnsi="David"/>
          <w:rtl/>
        </w:rPr>
        <w:t>, תשומות השיפוט והמנהל אשר יכול והיה צריך להקצות לפיקוח מתמשך בעניינם של הורים אשר  כפי הנראה שדפוסי התקשרות ומנגנוני קבלת ההחלטות המשותפים שלהם  בעניין ילדיהם אינם מגובשים דיים, לא זו בלבד שלא היו מידתיות בכל הנוגע למשאבי השיפוט הצריכים עם התא המשפחתי הספציפי, אלא שהיו גם פוגעות אינהרנטית בעניינם של מתדיינים אחרים הממתינים אף הם לתורם. במיוחד כשמדובר בתביעת אכיפה שהסעד הקונקרטי בה אף לא מגובש דיו,  יש משנה חשיבות להביא גם שיקולים אלה בחשבון [השוו: ע</w:t>
      </w:r>
      <w:r w:rsidRPr="004B2786">
        <w:rPr>
          <w:rFonts w:ascii="David" w:hAnsi="David"/>
        </w:rPr>
        <w:t>"</w:t>
      </w:r>
      <w:r w:rsidRPr="004B2786">
        <w:rPr>
          <w:rFonts w:ascii="David" w:hAnsi="David"/>
          <w:rtl/>
        </w:rPr>
        <w:t>א</w:t>
      </w:r>
      <w:r w:rsidRPr="004B2786">
        <w:rPr>
          <w:rFonts w:ascii="David" w:hAnsi="David"/>
        </w:rPr>
        <w:t xml:space="preserve"> 6460/21 </w:t>
      </w:r>
      <w:r w:rsidRPr="004B2786">
        <w:rPr>
          <w:rFonts w:ascii="David" w:hAnsi="David"/>
          <w:b/>
          <w:bCs/>
          <w:rtl/>
        </w:rPr>
        <w:t xml:space="preserve">פרץ נ' כהן  </w:t>
      </w:r>
      <w:r w:rsidRPr="004B2786">
        <w:rPr>
          <w:rFonts w:ascii="David" w:hAnsi="David"/>
        </w:rPr>
        <w:t>)</w:t>
      </w:r>
      <w:r w:rsidRPr="004B2786">
        <w:rPr>
          <w:rFonts w:ascii="David" w:hAnsi="David"/>
          <w:rtl/>
        </w:rPr>
        <w:t>מצוי</w:t>
      </w:r>
      <w:r w:rsidRPr="004B2786">
        <w:rPr>
          <w:rFonts w:ascii="David" w:hAnsi="David"/>
        </w:rPr>
        <w:t xml:space="preserve"> </w:t>
      </w:r>
      <w:r w:rsidRPr="004B2786">
        <w:rPr>
          <w:rFonts w:ascii="David" w:hAnsi="David"/>
          <w:rtl/>
        </w:rPr>
        <w:t>במאגרים</w:t>
      </w:r>
      <w:r w:rsidRPr="004B2786">
        <w:rPr>
          <w:rFonts w:ascii="David" w:hAnsi="David"/>
        </w:rPr>
        <w:t xml:space="preserve"> </w:t>
      </w:r>
      <w:r w:rsidRPr="004B2786">
        <w:rPr>
          <w:rFonts w:ascii="David" w:hAnsi="David"/>
          <w:rtl/>
        </w:rPr>
        <w:t>משפטיים, 18.6.23)].</w:t>
      </w:r>
    </w:p>
    <w:p w:rsidR="00B373BF" w:rsidRPr="004B2786" w:rsidRDefault="00B373BF" w:rsidP="004B2786">
      <w:pPr>
        <w:spacing w:line="360" w:lineRule="auto"/>
        <w:jc w:val="both"/>
        <w:rPr>
          <w:rFonts w:ascii="David" w:hAnsi="David"/>
          <w:rtl/>
        </w:rPr>
      </w:pPr>
    </w:p>
    <w:p w:rsidR="00B373BF" w:rsidRPr="004B2786" w:rsidRDefault="00B373BF" w:rsidP="004B2786">
      <w:pPr>
        <w:spacing w:line="360" w:lineRule="auto"/>
        <w:jc w:val="both"/>
        <w:rPr>
          <w:rFonts w:ascii="David" w:hAnsi="David"/>
          <w:rtl/>
        </w:rPr>
      </w:pPr>
      <w:r w:rsidRPr="004B2786">
        <w:rPr>
          <w:rFonts w:ascii="David" w:hAnsi="David"/>
          <w:rtl/>
        </w:rPr>
        <w:t xml:space="preserve">במיוחד שעה שטיעוני הצדדים שניהם משכנעים שכפי הנראה בפני ההורים שניהם ניצבת מלאכה רבה גם בכל הנוגע לגיבוש מנגנוני תקשורת וקבלת החלטות משותפים ביחס לקטינים וגם בזיקוק גבולות הגזרה  שבין כיבוד אוטונומיה הורית ובין התערבות נחוצה וחיונית בעניינם של קטינים, אני סבור שהפתרון המתאים ביותר בהקשר זה הוא דווקא מנגנון של תיאום הורי.  זאת במיוחד בשים לב להיקף זמני השהות של הקטינים עם כל אחד מהוריהם (זמני שהות  משמעותיים). </w:t>
      </w:r>
    </w:p>
    <w:p w:rsidR="00B373BF" w:rsidRPr="004B2786" w:rsidRDefault="00B373BF" w:rsidP="004B2786">
      <w:pPr>
        <w:spacing w:line="360" w:lineRule="auto"/>
        <w:jc w:val="both"/>
        <w:rPr>
          <w:rFonts w:ascii="David" w:hAnsi="David"/>
          <w:rtl/>
        </w:rPr>
      </w:pPr>
    </w:p>
    <w:p w:rsidR="00B373BF" w:rsidRPr="004B2786" w:rsidRDefault="00B373BF" w:rsidP="004B2786">
      <w:pPr>
        <w:spacing w:line="360" w:lineRule="auto"/>
        <w:jc w:val="both"/>
        <w:rPr>
          <w:rFonts w:ascii="David" w:hAnsi="David"/>
          <w:rtl/>
        </w:rPr>
      </w:pPr>
      <w:r w:rsidRPr="004B2786">
        <w:rPr>
          <w:rFonts w:ascii="David" w:hAnsi="David"/>
          <w:rtl/>
        </w:rPr>
        <w:t xml:space="preserve">כאמור, מנגנון שכזה בוודאי שיהא יעיל יותר מאשר מנגנון שבו יעתור תובע לבית המשפט, יבקש הקצאת  תשומות שיפוט שלא יהיו מעטות  ככל שהוא סבור שעל  בית המשפט לפקח על הסוגיות הנקודתיות שהעלה, ולבטח יהא צודק יותר במובן שבו גם ההורים, ודרכם גם הקטינים, </w:t>
      </w:r>
      <w:r w:rsidRPr="004B2786">
        <w:rPr>
          <w:rFonts w:ascii="David" w:hAnsi="David"/>
          <w:rtl/>
        </w:rPr>
        <w:lastRenderedPageBreak/>
        <w:t>יזכו למענה מן התחום הטיפולי שבו ילמדו אגב ניהול שוטף של המחלוקות ביניהם, להבנות לעצמם מנגנונים יעילים ומועילים לתקשורת וקבלת החלטות.</w:t>
      </w:r>
    </w:p>
    <w:p w:rsidR="00B373BF" w:rsidRPr="004B2786" w:rsidRDefault="00B373BF" w:rsidP="004B2786">
      <w:pPr>
        <w:spacing w:line="360" w:lineRule="auto"/>
        <w:jc w:val="both"/>
        <w:rPr>
          <w:rFonts w:ascii="David" w:hAnsi="David"/>
          <w:rtl/>
        </w:rPr>
      </w:pPr>
    </w:p>
    <w:p w:rsidR="00B373BF" w:rsidRPr="004B2786" w:rsidRDefault="00B373BF" w:rsidP="004B2786">
      <w:pPr>
        <w:spacing w:line="360" w:lineRule="auto"/>
        <w:jc w:val="both"/>
        <w:rPr>
          <w:rFonts w:ascii="David" w:hAnsi="David"/>
          <w:rtl/>
        </w:rPr>
      </w:pPr>
      <w:r w:rsidRPr="004B2786">
        <w:rPr>
          <w:rFonts w:ascii="David" w:hAnsi="David"/>
          <w:rtl/>
        </w:rPr>
        <w:t xml:space="preserve">לפיכך, לאחר ששמעתי את הצדדים ובאי כוחם ועיינתי במצוי בכתבי הטענות וצרופותיהם, אני מורה כי להסכם שאושר וקיבל תוקף של פסק דין  יתווסף מנגנון של תיאום הורי שלפיו בכל הוראה  הקשורה עם הפרה נטענת של הוראות ההסכם שלא נקבע בעניינה מנגנון הכרעה אחר (דוגמת: פנייה ליועץ חינוכי או גורם רפואי), ייפנו הצדדים למנגנון  של תיאום הורי וזאת בטרם כל פנייה יישומית נוספת באופייה לבית המשפט. </w:t>
      </w:r>
    </w:p>
    <w:p w:rsidR="00B373BF" w:rsidRPr="004B2786" w:rsidRDefault="00B373BF" w:rsidP="004B2786">
      <w:pPr>
        <w:spacing w:line="360" w:lineRule="auto"/>
        <w:jc w:val="both"/>
        <w:rPr>
          <w:rFonts w:ascii="David" w:hAnsi="David"/>
          <w:rtl/>
        </w:rPr>
      </w:pPr>
    </w:p>
    <w:p w:rsidR="00B373BF" w:rsidRPr="004B2786" w:rsidRDefault="00B373BF" w:rsidP="00A51EE9">
      <w:pPr>
        <w:spacing w:line="360" w:lineRule="auto"/>
        <w:jc w:val="both"/>
        <w:rPr>
          <w:rFonts w:ascii="David" w:hAnsi="David"/>
        </w:rPr>
      </w:pPr>
      <w:r w:rsidRPr="004B2786">
        <w:rPr>
          <w:rFonts w:ascii="David" w:hAnsi="David"/>
          <w:rtl/>
        </w:rPr>
        <w:t xml:space="preserve">ככל שהצדדים לא יגיעו להסכמות בדבר זהות המתאם ההורי, קובע בית המשפט שהמתאם ההורי יהיה העו"ס </w:t>
      </w:r>
      <w:r w:rsidR="00A51EE9">
        <w:rPr>
          <w:rFonts w:ascii="David" w:hAnsi="David" w:hint="cs"/>
        </w:rPr>
        <w:t>XXX</w:t>
      </w:r>
      <w:r w:rsidR="003C01C8">
        <w:rPr>
          <w:rFonts w:ascii="David" w:hAnsi="David" w:hint="cs"/>
          <w:rtl/>
        </w:rPr>
        <w:t xml:space="preserve"> </w:t>
      </w:r>
      <w:r w:rsidRPr="004B2786">
        <w:rPr>
          <w:rFonts w:ascii="David" w:hAnsi="David"/>
          <w:rtl/>
        </w:rPr>
        <w:t xml:space="preserve"> ובשכר טרחתו יישאו הצדדים בחלוקה של 60% הגורם שפנה קונקרטית למתאם ההורי בעניין  נקודתי ו- 40%  ההורה השני.</w:t>
      </w:r>
    </w:p>
    <w:p w:rsidR="00B373BF" w:rsidRPr="004B2786" w:rsidRDefault="00B373BF" w:rsidP="004B2786">
      <w:pPr>
        <w:spacing w:line="360" w:lineRule="auto"/>
        <w:jc w:val="both"/>
        <w:rPr>
          <w:rFonts w:ascii="David" w:hAnsi="David"/>
          <w:rtl/>
        </w:rPr>
      </w:pPr>
    </w:p>
    <w:p w:rsidR="00B373BF" w:rsidRPr="004B2786" w:rsidRDefault="00B373BF" w:rsidP="00A51EE9">
      <w:pPr>
        <w:spacing w:line="360" w:lineRule="auto"/>
        <w:jc w:val="both"/>
        <w:rPr>
          <w:rFonts w:ascii="David" w:hAnsi="David"/>
          <w:rtl/>
        </w:rPr>
      </w:pPr>
      <w:r w:rsidRPr="004B2786">
        <w:rPr>
          <w:rFonts w:ascii="David" w:hAnsi="David"/>
          <w:rtl/>
        </w:rPr>
        <w:t>בכך, כאמור, יהא כדי לצקת תוכן קונקרטי הן לחששות הנטענים של האב והן לטענותיה של האם והן לנסות ולסייע להם להבניית מנגנוניים יציבים לקבלת החלטות עבור הקטינים בראי</w:t>
      </w:r>
      <w:r w:rsidR="00A51EE9">
        <w:rPr>
          <w:rFonts w:ascii="David" w:hAnsi="David"/>
          <w:rtl/>
        </w:rPr>
        <w:t xml:space="preserve">יה צופה פני </w:t>
      </w:r>
      <w:r w:rsidR="00A51EE9">
        <w:rPr>
          <w:rFonts w:ascii="David" w:hAnsi="David" w:hint="cs"/>
        </w:rPr>
        <w:t>V</w:t>
      </w:r>
      <w:r w:rsidRPr="004B2786">
        <w:rPr>
          <w:rFonts w:ascii="David" w:hAnsi="David"/>
          <w:rtl/>
        </w:rPr>
        <w:t>עתיד.</w:t>
      </w:r>
    </w:p>
    <w:p w:rsidR="00B373BF" w:rsidRPr="004B2786" w:rsidRDefault="00B373BF" w:rsidP="004B2786">
      <w:pPr>
        <w:spacing w:line="360" w:lineRule="auto"/>
        <w:jc w:val="both"/>
        <w:rPr>
          <w:rFonts w:ascii="David" w:hAnsi="David"/>
          <w:rtl/>
        </w:rPr>
      </w:pPr>
    </w:p>
    <w:p w:rsidR="00B373BF" w:rsidRPr="004B2786" w:rsidRDefault="00B373BF" w:rsidP="004B2786">
      <w:pPr>
        <w:spacing w:line="360" w:lineRule="auto"/>
        <w:jc w:val="both"/>
        <w:rPr>
          <w:rFonts w:ascii="David" w:hAnsi="David"/>
          <w:rtl/>
        </w:rPr>
      </w:pPr>
      <w:r w:rsidRPr="004B2786">
        <w:rPr>
          <w:rFonts w:ascii="David" w:hAnsi="David"/>
          <w:rtl/>
        </w:rPr>
        <w:t>בהתחשב בלוז התובענה, איני מוצא לעשות צו להוצאות.</w:t>
      </w:r>
    </w:p>
    <w:p w:rsidR="00B373BF" w:rsidRPr="004B2786" w:rsidRDefault="00B373BF" w:rsidP="004B2786">
      <w:pPr>
        <w:spacing w:line="360" w:lineRule="auto"/>
        <w:jc w:val="both"/>
        <w:rPr>
          <w:rFonts w:ascii="David" w:hAnsi="David"/>
          <w:rtl/>
        </w:rPr>
      </w:pPr>
    </w:p>
    <w:p w:rsidR="00B373BF" w:rsidRPr="004B2786" w:rsidRDefault="00B373BF" w:rsidP="004B2786">
      <w:pPr>
        <w:spacing w:line="360" w:lineRule="auto"/>
        <w:jc w:val="both"/>
        <w:rPr>
          <w:rFonts w:ascii="David" w:hAnsi="David"/>
          <w:rtl/>
        </w:rPr>
      </w:pPr>
      <w:r w:rsidRPr="004B2786">
        <w:rPr>
          <w:rFonts w:ascii="David" w:hAnsi="David"/>
          <w:rtl/>
        </w:rPr>
        <w:lastRenderedPageBreak/>
        <w:t xml:space="preserve">פסק הדין מותר בפרסום בהשמטת פרטיהם ה מזהים של הצדדים ובני משפחותיהם. </w:t>
      </w:r>
    </w:p>
    <w:p w:rsidR="00B373BF" w:rsidRPr="004B2786" w:rsidRDefault="00B373BF" w:rsidP="004B2786">
      <w:pPr>
        <w:spacing w:line="360" w:lineRule="auto"/>
        <w:jc w:val="both"/>
        <w:rPr>
          <w:rFonts w:ascii="David" w:hAnsi="David"/>
          <w:rtl/>
        </w:rPr>
      </w:pPr>
    </w:p>
    <w:p w:rsidR="00B373BF" w:rsidRPr="004B2786" w:rsidRDefault="00B373BF" w:rsidP="004B2786">
      <w:pPr>
        <w:spacing w:line="360" w:lineRule="auto"/>
        <w:jc w:val="both"/>
        <w:rPr>
          <w:rFonts w:ascii="David" w:hAnsi="David"/>
          <w:u w:val="single"/>
          <w:rtl/>
        </w:rPr>
      </w:pPr>
      <w:r w:rsidRPr="004B2786">
        <w:rPr>
          <w:rFonts w:ascii="David" w:hAnsi="David"/>
          <w:u w:val="single"/>
          <w:rtl/>
        </w:rPr>
        <w:t>המזכירות תסגור את התיק.</w:t>
      </w:r>
    </w:p>
    <w:p w:rsidR="00B373BF" w:rsidRPr="004B2786" w:rsidRDefault="00B373BF" w:rsidP="004B2786">
      <w:pPr>
        <w:spacing w:line="360" w:lineRule="auto"/>
        <w:jc w:val="both"/>
        <w:rPr>
          <w:rFonts w:ascii="David" w:hAnsi="David"/>
          <w:rtl/>
        </w:rPr>
      </w:pPr>
      <w:r w:rsidRPr="004B2786">
        <w:rPr>
          <w:rFonts w:ascii="David" w:hAnsi="David"/>
          <w:rtl/>
        </w:rPr>
        <w:t>&lt;#3#&gt;</w:t>
      </w:r>
    </w:p>
    <w:p w:rsidR="00B373BF" w:rsidRPr="004B2786" w:rsidRDefault="00B373BF" w:rsidP="004B2786">
      <w:pPr>
        <w:spacing w:line="360" w:lineRule="auto"/>
        <w:rPr>
          <w:rFonts w:ascii="David" w:hAnsi="David"/>
        </w:rPr>
      </w:pPr>
    </w:p>
    <w:p w:rsidR="00B373BF" w:rsidRDefault="00B373BF" w:rsidP="00B373BF">
      <w:pPr>
        <w:rPr>
          <w:rtl/>
        </w:rPr>
      </w:pPr>
      <w:r>
        <w:rPr>
          <w:rFonts w:hint="cs"/>
          <w:b/>
          <w:bCs/>
          <w:rtl/>
        </w:rPr>
        <w:t xml:space="preserve">ניתנה והודעה היום </w:t>
      </w:r>
      <w:sdt>
        <w:sdtPr>
          <w:rPr>
            <w:rFonts w:hint="cs"/>
            <w:rtl/>
          </w:rPr>
          <w:alias w:val="2207"/>
          <w:tag w:val="2207"/>
          <w:id w:val="1329636924"/>
          <w:text w:multiLine="1"/>
        </w:sdtPr>
        <w:sdtEndPr/>
        <w:sdtContent>
          <w:r>
            <w:rPr>
              <w:rFonts w:hint="cs"/>
              <w:b/>
              <w:bCs/>
              <w:rtl/>
            </w:rPr>
            <w:t>ט"ו אלול תשפ"ד</w:t>
          </w:r>
        </w:sdtContent>
      </w:sdt>
      <w:r>
        <w:rPr>
          <w:rFonts w:hint="cs"/>
          <w:b/>
          <w:bCs/>
          <w:rtl/>
        </w:rPr>
        <w:t xml:space="preserve">, </w:t>
      </w:r>
      <w:sdt>
        <w:sdtPr>
          <w:rPr>
            <w:rFonts w:hint="cs"/>
            <w:rtl/>
          </w:rPr>
          <w:alias w:val="2206"/>
          <w:tag w:val="2206"/>
          <w:id w:val="-1474593809"/>
          <w:text w:multiLine="1"/>
        </w:sdtPr>
        <w:sdtEndPr/>
        <w:sdtContent>
          <w:r>
            <w:rPr>
              <w:rFonts w:hint="cs"/>
              <w:b/>
              <w:bCs/>
            </w:rPr>
            <w:t>18/09/2024</w:t>
          </w:r>
        </w:sdtContent>
      </w:sdt>
      <w:r>
        <w:rPr>
          <w:rFonts w:hint="cs"/>
          <w:b/>
          <w:bCs/>
          <w:rtl/>
        </w:rPr>
        <w:t xml:space="preserve"> במעמד הנוכחים.</w:t>
      </w:r>
    </w:p>
    <w:p w:rsidR="00B373BF" w:rsidRDefault="00B373BF" w:rsidP="00B373BF">
      <w:pPr>
        <w:rPr>
          <w:rtl/>
        </w:rPr>
      </w:pPr>
    </w:p>
    <w:tbl>
      <w:tblPr>
        <w:tblStyle w:val="a7"/>
        <w:bidiVisual/>
        <w:tblW w:w="0" w:type="auto"/>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B373BF" w:rsidTr="00B373BF">
        <w:trPr>
          <w:trHeight w:val="316"/>
        </w:trPr>
        <w:tc>
          <w:tcPr>
            <w:tcW w:w="3936" w:type="dxa"/>
            <w:tcBorders>
              <w:top w:val="nil"/>
              <w:left w:val="nil"/>
              <w:bottom w:val="single" w:sz="4" w:space="0" w:color="auto"/>
              <w:right w:val="nil"/>
            </w:tcBorders>
            <w:vAlign w:val="center"/>
          </w:tcPr>
          <w:p w:rsidR="00B373BF" w:rsidRDefault="00AE36DD">
            <w:pPr>
              <w:jc w:val="center"/>
              <w:rPr>
                <w:rtl/>
              </w:rPr>
            </w:pPr>
            <w:sdt>
              <w:sdtPr>
                <w:rPr>
                  <w:rFonts w:cs="Times New Roman"/>
                  <w:rtl/>
                </w:rPr>
                <w:alias w:val="MergeField"/>
                <w:tag w:val="2144"/>
                <w:id w:val="-847941344"/>
              </w:sdtPr>
              <w:sdtEndPr/>
              <w:sdtContent>
                <w:r w:rsidR="00B373BF">
                  <w:drawing>
                    <wp:inline distT="0" distB="0" distL="0" distR="0">
                      <wp:extent cx="360045" cy="301625"/>
                      <wp:effectExtent l="0" t="0" r="1905" b="317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0045" cy="301625"/>
                              </a:xfrm>
                              <a:prstGeom prst="rect">
                                <a:avLst/>
                              </a:prstGeom>
                              <a:noFill/>
                              <a:ln>
                                <a:noFill/>
                              </a:ln>
                            </pic:spPr>
                          </pic:pic>
                        </a:graphicData>
                      </a:graphic>
                    </wp:inline>
                  </w:drawing>
                </w:r>
              </w:sdtContent>
            </w:sdt>
          </w:p>
          <w:p w:rsidR="00B373BF" w:rsidRDefault="00B373BF">
            <w:pPr>
              <w:jc w:val="center"/>
            </w:pPr>
          </w:p>
        </w:tc>
      </w:tr>
      <w:tr w:rsidR="00B373BF" w:rsidTr="00B373BF">
        <w:trPr>
          <w:trHeight w:val="361"/>
        </w:trPr>
        <w:tc>
          <w:tcPr>
            <w:tcW w:w="3936" w:type="dxa"/>
            <w:tcBorders>
              <w:top w:val="single" w:sz="4" w:space="0" w:color="auto"/>
              <w:left w:val="nil"/>
              <w:bottom w:val="nil"/>
              <w:right w:val="nil"/>
            </w:tcBorders>
            <w:vAlign w:val="center"/>
            <w:hideMark/>
          </w:tcPr>
          <w:p w:rsidR="00B373BF" w:rsidRDefault="00AE36DD">
            <w:pPr>
              <w:jc w:val="center"/>
              <w:rPr>
                <w:b/>
                <w:bCs/>
                <w:rtl/>
              </w:rPr>
            </w:pPr>
            <w:sdt>
              <w:sdtPr>
                <w:rPr>
                  <w:b/>
                  <w:bCs/>
                  <w:rtl/>
                </w:rPr>
                <w:alias w:val="2141"/>
                <w:tag w:val="2141"/>
                <w:id w:val="2119712613"/>
                <w:placeholder>
                  <w:docPart w:val="1057C5296E894775B1962261AFA5FEB3"/>
                </w:placeholder>
                <w:text w:multiLine="1"/>
              </w:sdtPr>
              <w:sdtEndPr/>
              <w:sdtContent>
                <w:r w:rsidR="00B373BF">
                  <w:rPr>
                    <w:b/>
                    <w:bCs/>
                    <w:rtl/>
                  </w:rPr>
                  <w:t>בן</w:t>
                </w:r>
              </w:sdtContent>
            </w:sdt>
            <w:r w:rsidR="00B373BF">
              <w:rPr>
                <w:rFonts w:hint="cs"/>
                <w:b/>
                <w:bCs/>
                <w:rtl/>
              </w:rPr>
              <w:t xml:space="preserve"> </w:t>
            </w:r>
            <w:sdt>
              <w:sdtPr>
                <w:rPr>
                  <w:rFonts w:cs="Times New Roman"/>
                  <w:b/>
                  <w:bCs/>
                  <w:rtl/>
                </w:rPr>
                <w:alias w:val="2142"/>
                <w:tag w:val="2142"/>
                <w:id w:val="-26639521"/>
                <w:placeholder>
                  <w:docPart w:val="DAF5B34D00EF44438BD7F88D859B4BD6"/>
                </w:placeholder>
                <w:text w:multiLine="1"/>
              </w:sdtPr>
              <w:sdtEndPr/>
              <w:sdtContent>
                <w:r w:rsidR="00B373BF">
                  <w:rPr>
                    <w:b/>
                    <w:bCs/>
                    <w:rtl/>
                  </w:rPr>
                  <w:t>שלו</w:t>
                </w:r>
              </w:sdtContent>
            </w:sdt>
            <w:r w:rsidR="00B373BF">
              <w:rPr>
                <w:rFonts w:hint="cs"/>
                <w:b/>
                <w:bCs/>
                <w:rtl/>
              </w:rPr>
              <w:t xml:space="preserve">, </w:t>
            </w:r>
            <w:sdt>
              <w:sdtPr>
                <w:rPr>
                  <w:rFonts w:cs="Times New Roman"/>
                  <w:b/>
                  <w:bCs/>
                  <w:rtl/>
                </w:rPr>
                <w:alias w:val="2143"/>
                <w:tag w:val="2143"/>
                <w:id w:val="1647695366"/>
                <w:placeholder>
                  <w:docPart w:val="49F9D4E4326046D888C12596CF6B4C1E"/>
                </w:placeholder>
                <w:text w:multiLine="1"/>
              </w:sdtPr>
              <w:sdtEndPr/>
              <w:sdtContent>
                <w:r w:rsidR="00B373BF">
                  <w:rPr>
                    <w:b/>
                    <w:bCs/>
                    <w:rtl/>
                  </w:rPr>
                  <w:t>שופט</w:t>
                </w:r>
              </w:sdtContent>
            </w:sdt>
          </w:p>
        </w:tc>
      </w:tr>
    </w:tbl>
    <w:p w:rsidR="00B373BF" w:rsidRDefault="00B373BF" w:rsidP="00B373BF">
      <w:pPr>
        <w:rPr>
          <w:rFonts w:ascii="David" w:hAnsi="David"/>
          <w:rtl/>
        </w:rPr>
      </w:pPr>
    </w:p>
    <w:p w:rsidR="00B373BF" w:rsidRDefault="00B373BF" w:rsidP="00B373BF">
      <w:pPr>
        <w:rPr>
          <w:rtl/>
        </w:rPr>
      </w:pPr>
    </w:p>
    <w:p w:rsidR="00B373BF" w:rsidRDefault="00B373BF" w:rsidP="00B373BF">
      <w:pPr>
        <w:jc w:val="center"/>
        <w:rPr>
          <w:rtl/>
        </w:rPr>
      </w:pPr>
    </w:p>
    <w:p w:rsidR="00B373BF" w:rsidRDefault="00B373BF" w:rsidP="00B373BF">
      <w:pPr>
        <w:rPr>
          <w:rtl/>
        </w:rPr>
      </w:pPr>
      <w:r>
        <w:rPr>
          <w:rFonts w:hint="cs"/>
          <w:rtl/>
        </w:rPr>
        <w:t xml:space="preserve"> </w:t>
      </w:r>
    </w:p>
    <w:p w:rsidR="00B373BF" w:rsidRDefault="00B373BF" w:rsidP="00B373BF"/>
    <w:p w:rsidR="00B373BF" w:rsidRDefault="00B373BF" w:rsidP="00B373BF"/>
    <w:p w:rsidR="00B373BF" w:rsidRDefault="00B373BF" w:rsidP="00B373BF">
      <w:pPr>
        <w:rPr>
          <w:rtl/>
        </w:rPr>
      </w:pPr>
    </w:p>
    <w:p w:rsidR="00B373BF" w:rsidRDefault="00B373BF" w:rsidP="00B373BF">
      <w:pPr>
        <w:rPr>
          <w:rtl/>
        </w:rPr>
      </w:pPr>
    </w:p>
    <w:p w:rsidR="00B373BF" w:rsidRDefault="00B373BF" w:rsidP="00B373BF">
      <w:pPr>
        <w:rPr>
          <w:rtl/>
        </w:rPr>
      </w:pPr>
    </w:p>
    <w:p w:rsidR="00B373BF" w:rsidRDefault="00B373BF" w:rsidP="00B373BF">
      <w:pPr>
        <w:rPr>
          <w:rtl/>
        </w:rPr>
      </w:pPr>
    </w:p>
    <w:p w:rsidR="00B373BF" w:rsidRDefault="00B373BF" w:rsidP="00B373BF">
      <w:pPr>
        <w:rPr>
          <w:rtl/>
        </w:rPr>
      </w:pPr>
    </w:p>
    <w:p w:rsidR="00B373BF" w:rsidRDefault="00B373BF" w:rsidP="00B373BF">
      <w:pPr>
        <w:rPr>
          <w:rtl/>
        </w:rPr>
      </w:pPr>
    </w:p>
    <w:p w:rsidR="00B373BF" w:rsidRDefault="00B373BF" w:rsidP="00B373BF">
      <w:pPr>
        <w:rPr>
          <w:rtl/>
        </w:rPr>
      </w:pPr>
    </w:p>
    <w:p w:rsidR="00B373BF" w:rsidRDefault="00B373BF" w:rsidP="00B373BF">
      <w:pPr>
        <w:rPr>
          <w:rtl/>
        </w:rPr>
      </w:pPr>
    </w:p>
    <w:p w:rsidR="00B373BF" w:rsidRDefault="00B373BF" w:rsidP="00B373BF">
      <w:pPr>
        <w:rPr>
          <w:rtl/>
        </w:rPr>
      </w:pPr>
    </w:p>
    <w:p w:rsidR="00B373BF" w:rsidRDefault="00B373BF" w:rsidP="00B373BF">
      <w:pPr>
        <w:rPr>
          <w:rtl/>
        </w:rPr>
      </w:pPr>
    </w:p>
    <w:p w:rsidR="00B373BF" w:rsidRDefault="00B373BF" w:rsidP="00B373BF">
      <w:pPr>
        <w:rPr>
          <w:rtl/>
        </w:rPr>
      </w:pPr>
    </w:p>
    <w:p w:rsidR="00B373BF" w:rsidRDefault="00B373BF" w:rsidP="00B373BF">
      <w:pPr>
        <w:rPr>
          <w:rtl/>
        </w:rPr>
      </w:pPr>
    </w:p>
    <w:p w:rsidR="00B373BF" w:rsidRDefault="00B373BF" w:rsidP="00B373BF">
      <w:pPr>
        <w:jc w:val="center"/>
        <w:rPr>
          <w:rtl/>
        </w:rPr>
      </w:pPr>
    </w:p>
    <w:p w:rsidR="00B373BF" w:rsidRDefault="00B373BF" w:rsidP="00B373BF">
      <w:pPr>
        <w:rPr>
          <w:rtl/>
        </w:rPr>
      </w:pPr>
      <w:r>
        <w:rPr>
          <w:rFonts w:hint="cs"/>
          <w:rtl/>
        </w:rPr>
        <w:t xml:space="preserve"> </w:t>
      </w:r>
    </w:p>
    <w:p w:rsidR="00B373BF" w:rsidRDefault="00B373BF" w:rsidP="00B373BF"/>
    <w:p w:rsidR="00B373BF" w:rsidRDefault="00B373BF" w:rsidP="00B373BF">
      <w:pPr>
        <w:rPr>
          <w:rtl/>
        </w:rPr>
      </w:pPr>
      <w:r>
        <w:rPr>
          <w:rFonts w:hint="cs"/>
          <w:rtl/>
        </w:rPr>
        <w:t>הוקלד</w:t>
      </w:r>
      <w:r>
        <w:rPr>
          <w:rFonts w:hint="cs"/>
        </w:rPr>
        <w:t xml:space="preserve"> </w:t>
      </w:r>
      <w:r>
        <w:rPr>
          <w:rFonts w:hint="cs"/>
          <w:rtl/>
        </w:rPr>
        <w:t>על</w:t>
      </w:r>
      <w:r>
        <w:rPr>
          <w:rFonts w:hint="cs"/>
        </w:rPr>
        <w:t xml:space="preserve"> </w:t>
      </w:r>
      <w:r>
        <w:rPr>
          <w:rFonts w:hint="cs"/>
          <w:rtl/>
        </w:rPr>
        <w:t>ידי</w:t>
      </w:r>
      <w:r>
        <w:rPr>
          <w:rFonts w:hint="cs"/>
        </w:rPr>
        <w:t xml:space="preserve"> </w:t>
      </w:r>
      <w:r>
        <w:rPr>
          <w:rFonts w:hint="cs"/>
          <w:rtl/>
        </w:rPr>
        <w:t>לילך</w:t>
      </w:r>
      <w:r>
        <w:rPr>
          <w:rFonts w:hint="cs"/>
        </w:rPr>
        <w:t xml:space="preserve"> </w:t>
      </w:r>
      <w:r>
        <w:rPr>
          <w:rFonts w:hint="cs"/>
          <w:rtl/>
        </w:rPr>
        <w:t>קסטו</w:t>
      </w:r>
    </w:p>
    <w:p w:rsidR="00CB1E7A" w:rsidRPr="00F43693" w:rsidRDefault="00CB1E7A" w:rsidP="00F43693"/>
    <w:sectPr w:rsidR="00CB1E7A" w:rsidRPr="00F43693"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36DD" w:rsidRDefault="00AE36DD" w:rsidP="00A30504">
      <w:r>
        <w:separator/>
      </w:r>
    </w:p>
  </w:endnote>
  <w:endnote w:type="continuationSeparator" w:id="0">
    <w:p w:rsidR="00AE36DD" w:rsidRDefault="00AE36DD"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4014EF">
      <w:rPr>
        <w:rStyle w:val="a8"/>
        <w:rtl/>
      </w:rPr>
      <w:t>1</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4014EF">
      <w:rPr>
        <w:rStyle w:val="a8"/>
        <w:rtl/>
      </w:rPr>
      <w:t>1</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36DD" w:rsidRDefault="00AE36DD" w:rsidP="00A30504">
      <w:r>
        <w:separator/>
      </w:r>
    </w:p>
  </w:footnote>
  <w:footnote w:type="continuationSeparator" w:id="0">
    <w:p w:rsidR="00AE36DD" w:rsidRDefault="00AE36DD"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330799" w:rsidRPr="00CB1E7A" w:rsidRDefault="00CB1E7A" w:rsidP="00CB1E7A">
    <w:pPr>
      <w:rPr>
        <w:sz w:val="20"/>
        <w:szCs w:val="20"/>
        <w:rtl/>
      </w:rPr>
    </w:pPr>
    <w:r w:rsidRPr="00CB1E7A">
      <w:rPr>
        <w:rtl/>
      </w:rPr>
      <w:t xml:space="preserve">                           </w:t>
    </w:r>
    <w:r w:rsidRPr="00CB1E7A">
      <w:rPr>
        <w:sz w:val="20"/>
        <w:szCs w:val="20"/>
        <w:rtl/>
      </w:rPr>
      <w:t xml:space="preserve">                                 </w:t>
    </w:r>
  </w:p>
  <w:tbl>
    <w:tblPr>
      <w:bidiVisual/>
      <w:tblW w:w="0" w:type="auto"/>
      <w:jc w:val="center"/>
      <w:tblLook w:val="04A0" w:firstRow="1" w:lastRow="0" w:firstColumn="1" w:lastColumn="0" w:noHBand="0" w:noVBand="1"/>
    </w:tblPr>
    <w:tblGrid>
      <w:gridCol w:w="5528"/>
      <w:gridCol w:w="283"/>
      <w:gridCol w:w="2694"/>
    </w:tblGrid>
    <w:tr w:rsidR="00330799" w:rsidTr="00F43693">
      <w:trPr>
        <w:trHeight w:val="670"/>
        <w:jc w:val="center"/>
      </w:trPr>
      <w:sdt>
        <w:sdtPr>
          <w:rPr>
            <w:rtl/>
          </w:rPr>
          <w:alias w:val="1174"/>
          <w:tag w:val="1174"/>
          <w:id w:val="-1775709220"/>
          <w:text/>
        </w:sdtPr>
        <w:sdtEndPr/>
        <w:sdtContent>
          <w:tc>
            <w:tcPr>
              <w:tcW w:w="8505" w:type="dxa"/>
              <w:gridSpan w:val="3"/>
              <w:hideMark/>
            </w:tcPr>
            <w:p w:rsidR="00330799" w:rsidRDefault="00330799" w:rsidP="00330799">
              <w:pPr>
                <w:pStyle w:val="a3"/>
                <w:jc w:val="center"/>
              </w:pPr>
              <w:r>
                <w:rPr>
                  <w:rFonts w:ascii="Tahoma" w:hAnsi="Tahoma" w:cs="Tahoma"/>
                  <w:b/>
                  <w:bCs/>
                  <w:noProof w:val="0"/>
                  <w:color w:val="000080"/>
                  <w:rtl/>
                </w:rPr>
                <w:t>בית משפט לענייני משפחה בקריית גת</w:t>
              </w:r>
            </w:p>
          </w:tc>
        </w:sdtContent>
      </w:sdt>
    </w:tr>
    <w:tr w:rsidR="004B2786" w:rsidTr="004B2786">
      <w:trPr>
        <w:trHeight w:val="709"/>
        <w:jc w:val="center"/>
      </w:trPr>
      <w:tc>
        <w:tcPr>
          <w:tcW w:w="5528" w:type="dxa"/>
          <w:hideMark/>
        </w:tcPr>
        <w:p w:rsidR="004B2786" w:rsidRDefault="00AE36DD" w:rsidP="004B2786">
          <w:pPr>
            <w:rPr>
              <w:b/>
              <w:bCs/>
              <w:noProof w:val="0"/>
              <w:sz w:val="28"/>
              <w:szCs w:val="28"/>
              <w:u w:val="single"/>
              <w:rtl/>
            </w:rPr>
          </w:pPr>
          <w:sdt>
            <w:sdtPr>
              <w:rPr>
                <w:rFonts w:hint="cs"/>
                <w:b/>
                <w:bCs/>
                <w:sz w:val="28"/>
                <w:szCs w:val="28"/>
                <w:rtl/>
              </w:rPr>
              <w:alias w:val="849"/>
              <w:tag w:val="849"/>
              <w:id w:val="2112930230"/>
              <w:placeholder>
                <w:docPart w:val="7C7795071C9E4306A73A9D9445A35113"/>
              </w:placeholder>
              <w:text w:multiLine="1"/>
            </w:sdtPr>
            <w:sdtEndPr/>
            <w:sdtContent>
              <w:r w:rsidR="004B2786">
                <w:rPr>
                  <w:rFonts w:hint="cs"/>
                  <w:b/>
                  <w:bCs/>
                  <w:sz w:val="28"/>
                  <w:szCs w:val="28"/>
                  <w:rtl/>
                </w:rPr>
                <w:t>תלה"מ</w:t>
              </w:r>
            </w:sdtContent>
          </w:sdt>
          <w:r w:rsidR="004B2786">
            <w:rPr>
              <w:rFonts w:hint="cs"/>
              <w:b/>
              <w:bCs/>
              <w:sz w:val="28"/>
              <w:szCs w:val="28"/>
              <w:rtl/>
            </w:rPr>
            <w:t xml:space="preserve"> </w:t>
          </w:r>
          <w:sdt>
            <w:sdtPr>
              <w:rPr>
                <w:rFonts w:hint="cs"/>
                <w:b/>
                <w:bCs/>
                <w:sz w:val="28"/>
                <w:szCs w:val="28"/>
                <w:rtl/>
              </w:rPr>
              <w:alias w:val="158"/>
              <w:tag w:val="158"/>
              <w:id w:val="-567337356"/>
              <w:placeholder>
                <w:docPart w:val="A980A55417B74F0CBE96B504B8B1C328"/>
              </w:placeholder>
              <w:text w:multiLine="1"/>
            </w:sdtPr>
            <w:sdtEndPr/>
            <w:sdtContent>
              <w:r w:rsidR="004B2786">
                <w:rPr>
                  <w:rFonts w:hint="cs"/>
                  <w:b/>
                  <w:bCs/>
                  <w:sz w:val="28"/>
                  <w:szCs w:val="28"/>
                  <w:rtl/>
                </w:rPr>
                <w:t>14583-05-24</w:t>
              </w:r>
            </w:sdtContent>
          </w:sdt>
          <w:r w:rsidR="004B2786">
            <w:rPr>
              <w:rFonts w:hint="cs"/>
              <w:b/>
              <w:bCs/>
              <w:sz w:val="28"/>
              <w:szCs w:val="28"/>
              <w:rtl/>
            </w:rPr>
            <w:t xml:space="preserve"> </w:t>
          </w:r>
          <w:sdt>
            <w:sdtPr>
              <w:rPr>
                <w:rFonts w:hint="cs"/>
                <w:b/>
                <w:bCs/>
                <w:sz w:val="28"/>
                <w:szCs w:val="28"/>
                <w:rtl/>
              </w:rPr>
              <w:alias w:val="293"/>
              <w:tag w:val="293"/>
              <w:id w:val="-1315721415"/>
              <w:placeholder>
                <w:docPart w:val="E20A1134873D45619AB42FD0D0D61019"/>
              </w:placeholder>
              <w:text w:multiLine="1"/>
            </w:sdtPr>
            <w:sdtEndPr/>
            <w:sdtContent>
              <w:r w:rsidR="004B2786">
                <w:rPr>
                  <w:rFonts w:hint="cs"/>
                  <w:b/>
                  <w:bCs/>
                  <w:sz w:val="28"/>
                  <w:szCs w:val="28"/>
                  <w:rtl/>
                </w:rPr>
                <w:t>ט' נ' ט'</w:t>
              </w:r>
            </w:sdtContent>
          </w:sdt>
          <w:r w:rsidR="004B2786">
            <w:rPr>
              <w:rFonts w:hint="cs"/>
              <w:b/>
              <w:bCs/>
              <w:sz w:val="28"/>
              <w:szCs w:val="28"/>
              <w:rtl/>
            </w:rPr>
            <w:t xml:space="preserve">  </w:t>
          </w:r>
        </w:p>
      </w:tc>
      <w:tc>
        <w:tcPr>
          <w:tcW w:w="283" w:type="dxa"/>
          <w:vMerge w:val="restart"/>
        </w:tcPr>
        <w:p w:rsidR="004B2786" w:rsidRDefault="004B2786" w:rsidP="004B2786">
          <w:pPr>
            <w:pStyle w:val="a3"/>
            <w:jc w:val="right"/>
            <w:rPr>
              <w:b/>
              <w:bCs/>
              <w:sz w:val="28"/>
              <w:szCs w:val="28"/>
              <w:rtl/>
            </w:rPr>
          </w:pPr>
        </w:p>
      </w:tc>
      <w:tc>
        <w:tcPr>
          <w:tcW w:w="2693" w:type="dxa"/>
          <w:vMerge w:val="restart"/>
          <w:hideMark/>
        </w:tcPr>
        <w:sdt>
          <w:sdtPr>
            <w:rPr>
              <w:rFonts w:hint="cs"/>
              <w:b/>
              <w:bCs/>
              <w:sz w:val="28"/>
              <w:szCs w:val="28"/>
              <w:rtl/>
            </w:rPr>
            <w:alias w:val="2633"/>
            <w:tag w:val="2633"/>
            <w:id w:val="-1820103806"/>
            <w:placeholder>
              <w:docPart w:val="9E48C2675EED46D0B991866DAB3FA662"/>
            </w:placeholder>
            <w:text w:multiLine="1"/>
          </w:sdtPr>
          <w:sdtEndPr/>
          <w:sdtContent>
            <w:p w:rsidR="004B2786" w:rsidRDefault="004B2786" w:rsidP="004B2786">
              <w:pPr>
                <w:pStyle w:val="a3"/>
                <w:tabs>
                  <w:tab w:val="clear" w:pos="4153"/>
                </w:tabs>
                <w:jc w:val="right"/>
                <w:rPr>
                  <w:b/>
                  <w:bCs/>
                  <w:sz w:val="28"/>
                  <w:szCs w:val="28"/>
                  <w:rtl/>
                </w:rPr>
              </w:pPr>
              <w:r>
                <w:rPr>
                  <w:rFonts w:hint="cs"/>
                  <w:b/>
                  <w:bCs/>
                  <w:sz w:val="28"/>
                  <w:szCs w:val="28"/>
                  <w:rtl/>
                </w:rPr>
                <w:t>18 ספטמבר 2024</w:t>
              </w:r>
            </w:p>
          </w:sdtContent>
        </w:sdt>
      </w:tc>
    </w:tr>
    <w:tr w:rsidR="004B2786" w:rsidTr="004B2786">
      <w:trPr>
        <w:trHeight w:val="300"/>
        <w:jc w:val="center"/>
      </w:trPr>
      <w:tc>
        <w:tcPr>
          <w:tcW w:w="5528" w:type="dxa"/>
          <w:hideMark/>
        </w:tcPr>
        <w:p w:rsidR="004B2786" w:rsidRDefault="004B2786" w:rsidP="004B2786">
          <w:pPr>
            <w:rPr>
              <w:b/>
              <w:bCs/>
              <w:sz w:val="28"/>
              <w:szCs w:val="28"/>
              <w:rtl/>
            </w:rPr>
          </w:pPr>
          <w:r>
            <w:rPr>
              <w:rFonts w:hint="cs"/>
              <w:b/>
              <w:bCs/>
              <w:sz w:val="28"/>
              <w:szCs w:val="28"/>
              <w:rtl/>
            </w:rPr>
            <w:t>לפני: כב' ה</w:t>
          </w:r>
          <w:sdt>
            <w:sdtPr>
              <w:rPr>
                <w:rFonts w:hint="cs"/>
                <w:b/>
                <w:bCs/>
                <w:sz w:val="28"/>
                <w:szCs w:val="28"/>
                <w:rtl/>
              </w:rPr>
              <w:alias w:val="165"/>
              <w:tag w:val="165"/>
              <w:id w:val="593673336"/>
              <w:placeholder>
                <w:docPart w:val="D751A6C050764866BA03E94DCCCFA119"/>
              </w:placeholder>
              <w:text w:multiLine="1"/>
            </w:sdtPr>
            <w:sdtEndPr/>
            <w:sdtContent>
              <w:r>
                <w:rPr>
                  <w:rFonts w:hint="cs"/>
                  <w:b/>
                  <w:bCs/>
                  <w:sz w:val="28"/>
                  <w:szCs w:val="28"/>
                  <w:rtl/>
                </w:rPr>
                <w:t>שופט בן שלו</w:t>
              </w:r>
            </w:sdtContent>
          </w:sdt>
        </w:p>
      </w:tc>
      <w:tc>
        <w:tcPr>
          <w:tcW w:w="0" w:type="auto"/>
          <w:vMerge/>
          <w:vAlign w:val="center"/>
          <w:hideMark/>
        </w:tcPr>
        <w:p w:rsidR="004B2786" w:rsidRDefault="004B2786" w:rsidP="004B2786">
          <w:pPr>
            <w:rPr>
              <w:b/>
              <w:bCs/>
              <w:sz w:val="28"/>
              <w:szCs w:val="28"/>
            </w:rPr>
          </w:pPr>
        </w:p>
      </w:tc>
      <w:tc>
        <w:tcPr>
          <w:tcW w:w="0" w:type="auto"/>
          <w:vMerge/>
          <w:vAlign w:val="center"/>
          <w:hideMark/>
        </w:tcPr>
        <w:p w:rsidR="004B2786" w:rsidRDefault="004B2786" w:rsidP="004B2786">
          <w:pPr>
            <w:rPr>
              <w:b/>
              <w:bCs/>
              <w:sz w:val="28"/>
              <w:szCs w:val="28"/>
            </w:rPr>
          </w:pPr>
        </w:p>
      </w:tc>
    </w:tr>
  </w:tbl>
  <w:p w:rsidR="004B2786" w:rsidRDefault="004B2786" w:rsidP="004B2786">
    <w:pPr>
      <w:pStyle w:val="a3"/>
      <w:rPr>
        <w:rFonts w:ascii="Tahoma" w:hAnsi="Tahoma" w:cs="Tahoma"/>
        <w:b/>
        <w:bCs/>
        <w:color w:val="000080"/>
        <w:sz w:val="20"/>
        <w:szCs w:val="20"/>
        <w:rtl/>
      </w:rPr>
    </w:pPr>
    <w:r>
      <w:rPr>
        <w:rFonts w:ascii="Tahoma" w:hAnsi="Tahoma" w:cs="Tahoma"/>
        <w:b/>
        <w:bCs/>
        <w:color w:val="000080"/>
        <w:sz w:val="20"/>
        <w:szCs w:val="20"/>
        <w:rtl/>
      </w:rPr>
      <w:t xml:space="preserve"> </w:t>
    </w:r>
  </w:p>
  <w:p w:rsidR="0000787B" w:rsidRPr="00330799" w:rsidRDefault="00AE36DD" w:rsidP="00330799">
    <w:pPr>
      <w:rPr>
        <w:rFonts w:ascii="David" w:hAnsi="David"/>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4D0C0A6C"/>
    <w:multiLevelType w:val="hybridMultilevel"/>
    <w:tmpl w:val="2AA0809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E6940"/>
    <w:rsid w:val="00112F6C"/>
    <w:rsid w:val="00123396"/>
    <w:rsid w:val="001F032F"/>
    <w:rsid w:val="00204361"/>
    <w:rsid w:val="00310C88"/>
    <w:rsid w:val="00330799"/>
    <w:rsid w:val="003C01C8"/>
    <w:rsid w:val="004014EF"/>
    <w:rsid w:val="00414D88"/>
    <w:rsid w:val="004204FE"/>
    <w:rsid w:val="00487C9F"/>
    <w:rsid w:val="004B2786"/>
    <w:rsid w:val="005C7A13"/>
    <w:rsid w:val="00671EB3"/>
    <w:rsid w:val="006A10DE"/>
    <w:rsid w:val="0075045D"/>
    <w:rsid w:val="00832ED3"/>
    <w:rsid w:val="00A30504"/>
    <w:rsid w:val="00A51EE9"/>
    <w:rsid w:val="00AE36DD"/>
    <w:rsid w:val="00B373BF"/>
    <w:rsid w:val="00C1241C"/>
    <w:rsid w:val="00C827A6"/>
    <w:rsid w:val="00CB1E7A"/>
    <w:rsid w:val="00D62C22"/>
    <w:rsid w:val="00D76B8C"/>
    <w:rsid w:val="00DF1F3E"/>
    <w:rsid w:val="00E118A6"/>
    <w:rsid w:val="00E44517"/>
    <w:rsid w:val="00EF7B09"/>
    <w:rsid w:val="00F4369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79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p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 w:type="paragraph" w:customStyle="1" w:styleId="12">
    <w:name w:val="רגיל + ‏12 נק'"/>
    <w:aliases w:val="מיושר לשני הצדדים,מרווח בין שורות:  שורה וחצי"/>
    <w:basedOn w:val="a"/>
    <w:rsid w:val="00B373BF"/>
    <w:rPr>
      <w:b/>
      <w:bCs/>
      <w:noProof w:val="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772176">
      <w:bodyDiv w:val="1"/>
      <w:marLeft w:val="0"/>
      <w:marRight w:val="0"/>
      <w:marTop w:val="0"/>
      <w:marBottom w:val="0"/>
      <w:divBdr>
        <w:top w:val="none" w:sz="0" w:space="0" w:color="auto"/>
        <w:left w:val="none" w:sz="0" w:space="0" w:color="auto"/>
        <w:bottom w:val="none" w:sz="0" w:space="0" w:color="auto"/>
        <w:right w:val="none" w:sz="0" w:space="0" w:color="auto"/>
      </w:divBdr>
    </w:div>
    <w:div w:id="505366088">
      <w:bodyDiv w:val="1"/>
      <w:marLeft w:val="0"/>
      <w:marRight w:val="0"/>
      <w:marTop w:val="0"/>
      <w:marBottom w:val="0"/>
      <w:divBdr>
        <w:top w:val="none" w:sz="0" w:space="0" w:color="auto"/>
        <w:left w:val="none" w:sz="0" w:space="0" w:color="auto"/>
        <w:bottom w:val="none" w:sz="0" w:space="0" w:color="auto"/>
        <w:right w:val="none" w:sz="0" w:space="0" w:color="auto"/>
      </w:divBdr>
    </w:div>
    <w:div w:id="606500424">
      <w:bodyDiv w:val="1"/>
      <w:marLeft w:val="0"/>
      <w:marRight w:val="0"/>
      <w:marTop w:val="0"/>
      <w:marBottom w:val="0"/>
      <w:divBdr>
        <w:top w:val="none" w:sz="0" w:space="0" w:color="auto"/>
        <w:left w:val="none" w:sz="0" w:space="0" w:color="auto"/>
        <w:bottom w:val="none" w:sz="0" w:space="0" w:color="auto"/>
        <w:right w:val="none" w:sz="0" w:space="0" w:color="auto"/>
      </w:divBdr>
    </w:div>
    <w:div w:id="647132013">
      <w:bodyDiv w:val="1"/>
      <w:marLeft w:val="0"/>
      <w:marRight w:val="0"/>
      <w:marTop w:val="0"/>
      <w:marBottom w:val="0"/>
      <w:divBdr>
        <w:top w:val="none" w:sz="0" w:space="0" w:color="auto"/>
        <w:left w:val="none" w:sz="0" w:space="0" w:color="auto"/>
        <w:bottom w:val="none" w:sz="0" w:space="0" w:color="auto"/>
        <w:right w:val="none" w:sz="0" w:space="0" w:color="auto"/>
      </w:divBdr>
    </w:div>
    <w:div w:id="169556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94D82C4FCEE45059A54B2CE4C5065C7"/>
        <w:category>
          <w:name w:val="כללי"/>
          <w:gallery w:val="placeholder"/>
        </w:category>
        <w:types>
          <w:type w:val="bbPlcHdr"/>
        </w:types>
        <w:behaviors>
          <w:behavior w:val="content"/>
        </w:behaviors>
        <w:guid w:val="{B285C56C-36AF-4ADB-878D-A41BBC68BAD5}"/>
      </w:docPartPr>
      <w:docPartBody>
        <w:p w:rsidR="00373EF6" w:rsidRDefault="00D32C50" w:rsidP="00D32C50">
          <w:pPr>
            <w:pStyle w:val="A94D82C4FCEE45059A54B2CE4C5065C7"/>
          </w:pPr>
          <w:r>
            <w:rPr>
              <w:rStyle w:val="a3"/>
              <w:rtl/>
            </w:rPr>
            <w:t>מעמד/כינוי צד א</w:t>
          </w:r>
          <w:r>
            <w:rPr>
              <w:rStyle w:val="a3"/>
            </w:rPr>
            <w:t>'</w:t>
          </w:r>
        </w:p>
      </w:docPartBody>
    </w:docPart>
    <w:docPart>
      <w:docPartPr>
        <w:name w:val="20494D8FF4DE4981877F82F411FD7E17"/>
        <w:category>
          <w:name w:val="כללי"/>
          <w:gallery w:val="placeholder"/>
        </w:category>
        <w:types>
          <w:type w:val="bbPlcHdr"/>
        </w:types>
        <w:behaviors>
          <w:behavior w:val="content"/>
        </w:behaviors>
        <w:guid w:val="{CF3BC52F-002B-4EC7-AF5B-A0E0DE429D04}"/>
      </w:docPartPr>
      <w:docPartBody>
        <w:p w:rsidR="00373EF6" w:rsidRDefault="00D32C50" w:rsidP="00D32C50">
          <w:pPr>
            <w:pStyle w:val="20494D8FF4DE4981877F82F411FD7E17"/>
          </w:pPr>
          <w:r>
            <w:rPr>
              <w:b/>
              <w:bCs/>
              <w:sz w:val="28"/>
              <w:szCs w:val="28"/>
              <w:rtl/>
            </w:rPr>
            <w:t>סוג זיהוי צד א</w:t>
          </w:r>
        </w:p>
      </w:docPartBody>
    </w:docPart>
    <w:docPart>
      <w:docPartPr>
        <w:name w:val="E3ABCCC3627044F0AEB088B3A8FC58CF"/>
        <w:category>
          <w:name w:val="כללי"/>
          <w:gallery w:val="placeholder"/>
        </w:category>
        <w:types>
          <w:type w:val="bbPlcHdr"/>
        </w:types>
        <w:behaviors>
          <w:behavior w:val="content"/>
        </w:behaviors>
        <w:guid w:val="{26A6022E-579D-49EE-B2B8-BD9B64615D8F}"/>
      </w:docPartPr>
      <w:docPartBody>
        <w:p w:rsidR="00373EF6" w:rsidRDefault="00D32C50" w:rsidP="00D32C50">
          <w:pPr>
            <w:pStyle w:val="E3ABCCC3627044F0AEB088B3A8FC58CF"/>
          </w:pPr>
          <w:r>
            <w:rPr>
              <w:b/>
              <w:bCs/>
              <w:sz w:val="28"/>
              <w:szCs w:val="28"/>
              <w:rtl/>
            </w:rPr>
            <w:t>מספר זיהוי צד א</w:t>
          </w:r>
        </w:p>
      </w:docPartBody>
    </w:docPart>
    <w:docPart>
      <w:docPartPr>
        <w:name w:val="1AA4C770DC0A43829372B751EEC09483"/>
        <w:category>
          <w:name w:val="כללי"/>
          <w:gallery w:val="placeholder"/>
        </w:category>
        <w:types>
          <w:type w:val="bbPlcHdr"/>
        </w:types>
        <w:behaviors>
          <w:behavior w:val="content"/>
        </w:behaviors>
        <w:guid w:val="{337C7BEA-42AF-45CF-AC2E-F5522C7C94C5}"/>
      </w:docPartPr>
      <w:docPartBody>
        <w:p w:rsidR="00373EF6" w:rsidRDefault="00D32C50" w:rsidP="00D32C50">
          <w:pPr>
            <w:pStyle w:val="1AA4C770DC0A43829372B751EEC09483"/>
          </w:pPr>
          <w:r>
            <w:rPr>
              <w:rStyle w:val="a3"/>
              <w:rtl/>
            </w:rPr>
            <w:t>מעמד/כינוי צד ב</w:t>
          </w:r>
          <w:r>
            <w:rPr>
              <w:rStyle w:val="a3"/>
            </w:rPr>
            <w:t>'</w:t>
          </w:r>
        </w:p>
      </w:docPartBody>
    </w:docPart>
    <w:docPart>
      <w:docPartPr>
        <w:name w:val="014F4FF2DA1E4CF3B4951360E9085B77"/>
        <w:category>
          <w:name w:val="כללי"/>
          <w:gallery w:val="placeholder"/>
        </w:category>
        <w:types>
          <w:type w:val="bbPlcHdr"/>
        </w:types>
        <w:behaviors>
          <w:behavior w:val="content"/>
        </w:behaviors>
        <w:guid w:val="{2F4B674E-27F4-4816-9D62-1C4F05CCA701}"/>
      </w:docPartPr>
      <w:docPartBody>
        <w:p w:rsidR="00373EF6" w:rsidRDefault="00D32C50" w:rsidP="00D32C50">
          <w:pPr>
            <w:pStyle w:val="014F4FF2DA1E4CF3B4951360E9085B77"/>
          </w:pPr>
          <w:r>
            <w:rPr>
              <w:b/>
              <w:bCs/>
              <w:sz w:val="28"/>
              <w:szCs w:val="28"/>
              <w:rtl/>
            </w:rPr>
            <w:t>סוג זיהוי צד ב</w:t>
          </w:r>
        </w:p>
      </w:docPartBody>
    </w:docPart>
    <w:docPart>
      <w:docPartPr>
        <w:name w:val="476B4A279C7644AF9CA2C883DD1721CB"/>
        <w:category>
          <w:name w:val="כללי"/>
          <w:gallery w:val="placeholder"/>
        </w:category>
        <w:types>
          <w:type w:val="bbPlcHdr"/>
        </w:types>
        <w:behaviors>
          <w:behavior w:val="content"/>
        </w:behaviors>
        <w:guid w:val="{9AC83013-A754-4600-8180-1A2D697E23F0}"/>
      </w:docPartPr>
      <w:docPartBody>
        <w:p w:rsidR="00373EF6" w:rsidRDefault="00D32C50" w:rsidP="00D32C50">
          <w:pPr>
            <w:pStyle w:val="476B4A279C7644AF9CA2C883DD1721CB"/>
          </w:pPr>
          <w:r>
            <w:rPr>
              <w:b/>
              <w:bCs/>
              <w:sz w:val="28"/>
              <w:szCs w:val="28"/>
              <w:rtl/>
            </w:rPr>
            <w:t>מספר זיהוי צד ב</w:t>
          </w:r>
        </w:p>
      </w:docPartBody>
    </w:docPart>
    <w:docPart>
      <w:docPartPr>
        <w:name w:val="1057C5296E894775B1962261AFA5FEB3"/>
        <w:category>
          <w:name w:val="כללי"/>
          <w:gallery w:val="placeholder"/>
        </w:category>
        <w:types>
          <w:type w:val="bbPlcHdr"/>
        </w:types>
        <w:behaviors>
          <w:behavior w:val="content"/>
        </w:behaviors>
        <w:guid w:val="{7BF83E45-F2D0-490C-8CEC-BEAF1A4FDF78}"/>
      </w:docPartPr>
      <w:docPartBody>
        <w:p w:rsidR="00373EF6" w:rsidRDefault="00D32C50" w:rsidP="00D32C50">
          <w:pPr>
            <w:pStyle w:val="1057C5296E894775B1962261AFA5FEB3"/>
          </w:pPr>
          <w:r>
            <w:rPr>
              <w:rFonts w:cs="David"/>
              <w:b/>
              <w:bCs/>
              <w:rtl/>
            </w:rPr>
            <w:t>שם פרטי חותם</w:t>
          </w:r>
        </w:p>
      </w:docPartBody>
    </w:docPart>
    <w:docPart>
      <w:docPartPr>
        <w:name w:val="DAF5B34D00EF44438BD7F88D859B4BD6"/>
        <w:category>
          <w:name w:val="כללי"/>
          <w:gallery w:val="placeholder"/>
        </w:category>
        <w:types>
          <w:type w:val="bbPlcHdr"/>
        </w:types>
        <w:behaviors>
          <w:behavior w:val="content"/>
        </w:behaviors>
        <w:guid w:val="{AECC6FBC-A8DC-4AF7-924F-A37640A2B41C}"/>
      </w:docPartPr>
      <w:docPartBody>
        <w:p w:rsidR="00373EF6" w:rsidRDefault="00D32C50" w:rsidP="00D32C50">
          <w:pPr>
            <w:pStyle w:val="DAF5B34D00EF44438BD7F88D859B4BD6"/>
          </w:pPr>
          <w:r>
            <w:rPr>
              <w:rFonts w:cs="David"/>
              <w:b/>
              <w:bCs/>
              <w:rtl/>
            </w:rPr>
            <w:t>שם משפחה חותם</w:t>
          </w:r>
        </w:p>
      </w:docPartBody>
    </w:docPart>
    <w:docPart>
      <w:docPartPr>
        <w:name w:val="49F9D4E4326046D888C12596CF6B4C1E"/>
        <w:category>
          <w:name w:val="כללי"/>
          <w:gallery w:val="placeholder"/>
        </w:category>
        <w:types>
          <w:type w:val="bbPlcHdr"/>
        </w:types>
        <w:behaviors>
          <w:behavior w:val="content"/>
        </w:behaviors>
        <w:guid w:val="{76EBDF1E-B34C-4B7F-AEFD-5D2520BDA566}"/>
      </w:docPartPr>
      <w:docPartBody>
        <w:p w:rsidR="00373EF6" w:rsidRDefault="00D32C50" w:rsidP="00D32C50">
          <w:pPr>
            <w:pStyle w:val="49F9D4E4326046D888C12596CF6B4C1E"/>
          </w:pPr>
          <w:r>
            <w:rPr>
              <w:rFonts w:cs="David"/>
              <w:b/>
              <w:bCs/>
              <w:rtl/>
            </w:rPr>
            <w:t>מעמד חותם</w:t>
          </w:r>
        </w:p>
      </w:docPartBody>
    </w:docPart>
    <w:docPart>
      <w:docPartPr>
        <w:name w:val="7C7795071C9E4306A73A9D9445A35113"/>
        <w:category>
          <w:name w:val="כללי"/>
          <w:gallery w:val="placeholder"/>
        </w:category>
        <w:types>
          <w:type w:val="bbPlcHdr"/>
        </w:types>
        <w:behaviors>
          <w:behavior w:val="content"/>
        </w:behaviors>
        <w:guid w:val="{F375C922-5E0C-4DE8-95E3-B8FE8DD16C8D}"/>
      </w:docPartPr>
      <w:docPartBody>
        <w:p w:rsidR="00373EF6" w:rsidRDefault="00D32C50" w:rsidP="00D32C50">
          <w:pPr>
            <w:pStyle w:val="7C7795071C9E4306A73A9D9445A35113"/>
          </w:pPr>
          <w:r>
            <w:rPr>
              <w:rStyle w:val="a3"/>
              <w:rtl/>
            </w:rPr>
            <w:t>סוג תיק</w:t>
          </w:r>
        </w:p>
      </w:docPartBody>
    </w:docPart>
    <w:docPart>
      <w:docPartPr>
        <w:name w:val="A980A55417B74F0CBE96B504B8B1C328"/>
        <w:category>
          <w:name w:val="כללי"/>
          <w:gallery w:val="placeholder"/>
        </w:category>
        <w:types>
          <w:type w:val="bbPlcHdr"/>
        </w:types>
        <w:behaviors>
          <w:behavior w:val="content"/>
        </w:behaviors>
        <w:guid w:val="{7CAB69A7-838A-4C20-99D4-48ED6BFA7735}"/>
      </w:docPartPr>
      <w:docPartBody>
        <w:p w:rsidR="00373EF6" w:rsidRDefault="00D32C50" w:rsidP="00D32C50">
          <w:pPr>
            <w:pStyle w:val="A980A55417B74F0CBE96B504B8B1C328"/>
          </w:pPr>
          <w:r>
            <w:rPr>
              <w:rStyle w:val="a3"/>
              <w:rtl/>
            </w:rPr>
            <w:t>מספר תיק</w:t>
          </w:r>
          <w:r>
            <w:rPr>
              <w:rStyle w:val="a3"/>
            </w:rPr>
            <w:t xml:space="preserve"> </w:t>
          </w:r>
        </w:p>
      </w:docPartBody>
    </w:docPart>
    <w:docPart>
      <w:docPartPr>
        <w:name w:val="E20A1134873D45619AB42FD0D0D61019"/>
        <w:category>
          <w:name w:val="כללי"/>
          <w:gallery w:val="placeholder"/>
        </w:category>
        <w:types>
          <w:type w:val="bbPlcHdr"/>
        </w:types>
        <w:behaviors>
          <w:behavior w:val="content"/>
        </w:behaviors>
        <w:guid w:val="{AE53A3BA-2A6B-4798-B3D0-AF8B5C485A1C}"/>
      </w:docPartPr>
      <w:docPartBody>
        <w:p w:rsidR="00373EF6" w:rsidRDefault="00D32C50" w:rsidP="00D32C50">
          <w:pPr>
            <w:pStyle w:val="E20A1134873D45619AB42FD0D0D61019"/>
          </w:pPr>
          <w:r>
            <w:rPr>
              <w:b/>
              <w:bCs/>
              <w:sz w:val="28"/>
              <w:szCs w:val="28"/>
              <w:rtl/>
            </w:rPr>
            <w:t>שם תיק</w:t>
          </w:r>
        </w:p>
      </w:docPartBody>
    </w:docPart>
    <w:docPart>
      <w:docPartPr>
        <w:name w:val="9E48C2675EED46D0B991866DAB3FA662"/>
        <w:category>
          <w:name w:val="כללי"/>
          <w:gallery w:val="placeholder"/>
        </w:category>
        <w:types>
          <w:type w:val="bbPlcHdr"/>
        </w:types>
        <w:behaviors>
          <w:behavior w:val="content"/>
        </w:behaviors>
        <w:guid w:val="{64883ED2-559E-4474-8C14-E7D53E4EE68D}"/>
      </w:docPartPr>
      <w:docPartBody>
        <w:p w:rsidR="00373EF6" w:rsidRDefault="00D32C50" w:rsidP="00D32C50">
          <w:pPr>
            <w:pStyle w:val="9E48C2675EED46D0B991866DAB3FA662"/>
          </w:pPr>
          <w:r>
            <w:rPr>
              <w:b/>
              <w:bCs/>
              <w:sz w:val="28"/>
              <w:szCs w:val="28"/>
              <w:rtl/>
            </w:rPr>
            <w:t>תאריך דיון</w:t>
          </w:r>
        </w:p>
      </w:docPartBody>
    </w:docPart>
    <w:docPart>
      <w:docPartPr>
        <w:name w:val="D751A6C050764866BA03E94DCCCFA119"/>
        <w:category>
          <w:name w:val="כללי"/>
          <w:gallery w:val="placeholder"/>
        </w:category>
        <w:types>
          <w:type w:val="bbPlcHdr"/>
        </w:types>
        <w:behaviors>
          <w:behavior w:val="content"/>
        </w:behaviors>
        <w:guid w:val="{0F8FDBCD-1F1A-477A-89E1-65E67BFDFCF7}"/>
      </w:docPartPr>
      <w:docPartBody>
        <w:p w:rsidR="00373EF6" w:rsidRDefault="00D32C50" w:rsidP="00D32C50">
          <w:pPr>
            <w:pStyle w:val="D751A6C050764866BA03E94DCCCFA119"/>
          </w:pPr>
          <w:r>
            <w:rPr>
              <w:rStyle w:val="a3"/>
              <w:rtl/>
            </w:rPr>
            <w:t>גורם שיפוטי בדיון</w:t>
          </w:r>
          <w:r>
            <w:rPr>
              <w:rStyle w:val="a3"/>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841"/>
    <w:rsid w:val="00373EF6"/>
    <w:rsid w:val="009D1499"/>
    <w:rsid w:val="00D32C50"/>
    <w:rsid w:val="00E17978"/>
    <w:rsid w:val="00F948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4294DFC47F540F284286B250375FB0A">
    <w:name w:val="34294DFC47F540F284286B250375FB0A"/>
    <w:rsid w:val="00F94841"/>
    <w:pPr>
      <w:bidi/>
    </w:pPr>
  </w:style>
  <w:style w:type="paragraph" w:customStyle="1" w:styleId="03664DF8261541AAAED09F96CD4A5D17">
    <w:name w:val="03664DF8261541AAAED09F96CD4A5D17"/>
    <w:rsid w:val="00F94841"/>
    <w:pPr>
      <w:bidi/>
    </w:pPr>
  </w:style>
  <w:style w:type="paragraph" w:customStyle="1" w:styleId="85EFCFF3A1A948538DF90AEC64E9B7CD">
    <w:name w:val="85EFCFF3A1A948538DF90AEC64E9B7CD"/>
    <w:rsid w:val="00F94841"/>
    <w:pPr>
      <w:bidi/>
    </w:pPr>
  </w:style>
  <w:style w:type="paragraph" w:customStyle="1" w:styleId="2AD4DB4F81CA472883BCE66EC2DCF10A">
    <w:name w:val="2AD4DB4F81CA472883BCE66EC2DCF10A"/>
    <w:rsid w:val="00F94841"/>
    <w:pPr>
      <w:bidi/>
    </w:pPr>
  </w:style>
  <w:style w:type="character" w:styleId="a3">
    <w:name w:val="Placeholder Text"/>
    <w:basedOn w:val="a0"/>
    <w:uiPriority w:val="99"/>
    <w:semiHidden/>
    <w:rsid w:val="00D32C50"/>
  </w:style>
  <w:style w:type="paragraph" w:customStyle="1" w:styleId="AA84A2823C0B45FBAD1A35D5ED710CA8">
    <w:name w:val="AA84A2823C0B45FBAD1A35D5ED710CA8"/>
    <w:rsid w:val="00F94841"/>
    <w:pPr>
      <w:bidi/>
    </w:pPr>
  </w:style>
  <w:style w:type="paragraph" w:customStyle="1" w:styleId="A94D82C4FCEE45059A54B2CE4C5065C7">
    <w:name w:val="A94D82C4FCEE45059A54B2CE4C5065C7"/>
    <w:rsid w:val="00D32C50"/>
    <w:pPr>
      <w:bidi/>
    </w:pPr>
  </w:style>
  <w:style w:type="paragraph" w:customStyle="1" w:styleId="20494D8FF4DE4981877F82F411FD7E17">
    <w:name w:val="20494D8FF4DE4981877F82F411FD7E17"/>
    <w:rsid w:val="00D32C50"/>
    <w:pPr>
      <w:bidi/>
    </w:pPr>
  </w:style>
  <w:style w:type="paragraph" w:customStyle="1" w:styleId="E3ABCCC3627044F0AEB088B3A8FC58CF">
    <w:name w:val="E3ABCCC3627044F0AEB088B3A8FC58CF"/>
    <w:rsid w:val="00D32C50"/>
    <w:pPr>
      <w:bidi/>
    </w:pPr>
  </w:style>
  <w:style w:type="paragraph" w:customStyle="1" w:styleId="1AA4C770DC0A43829372B751EEC09483">
    <w:name w:val="1AA4C770DC0A43829372B751EEC09483"/>
    <w:rsid w:val="00D32C50"/>
    <w:pPr>
      <w:bidi/>
    </w:pPr>
  </w:style>
  <w:style w:type="paragraph" w:customStyle="1" w:styleId="014F4FF2DA1E4CF3B4951360E9085B77">
    <w:name w:val="014F4FF2DA1E4CF3B4951360E9085B77"/>
    <w:rsid w:val="00D32C50"/>
    <w:pPr>
      <w:bidi/>
    </w:pPr>
  </w:style>
  <w:style w:type="paragraph" w:customStyle="1" w:styleId="476B4A279C7644AF9CA2C883DD1721CB">
    <w:name w:val="476B4A279C7644AF9CA2C883DD1721CB"/>
    <w:rsid w:val="00D32C50"/>
    <w:pPr>
      <w:bidi/>
    </w:pPr>
  </w:style>
  <w:style w:type="paragraph" w:customStyle="1" w:styleId="1057C5296E894775B1962261AFA5FEB3">
    <w:name w:val="1057C5296E894775B1962261AFA5FEB3"/>
    <w:rsid w:val="00D32C50"/>
    <w:pPr>
      <w:bidi/>
    </w:pPr>
  </w:style>
  <w:style w:type="paragraph" w:customStyle="1" w:styleId="DAF5B34D00EF44438BD7F88D859B4BD6">
    <w:name w:val="DAF5B34D00EF44438BD7F88D859B4BD6"/>
    <w:rsid w:val="00D32C50"/>
    <w:pPr>
      <w:bidi/>
    </w:pPr>
  </w:style>
  <w:style w:type="paragraph" w:customStyle="1" w:styleId="49F9D4E4326046D888C12596CF6B4C1E">
    <w:name w:val="49F9D4E4326046D888C12596CF6B4C1E"/>
    <w:rsid w:val="00D32C50"/>
    <w:pPr>
      <w:bidi/>
    </w:pPr>
  </w:style>
  <w:style w:type="paragraph" w:customStyle="1" w:styleId="7C7795071C9E4306A73A9D9445A35113">
    <w:name w:val="7C7795071C9E4306A73A9D9445A35113"/>
    <w:rsid w:val="00D32C50"/>
    <w:pPr>
      <w:bidi/>
    </w:pPr>
  </w:style>
  <w:style w:type="paragraph" w:customStyle="1" w:styleId="A980A55417B74F0CBE96B504B8B1C328">
    <w:name w:val="A980A55417B74F0CBE96B504B8B1C328"/>
    <w:rsid w:val="00D32C50"/>
    <w:pPr>
      <w:bidi/>
    </w:pPr>
  </w:style>
  <w:style w:type="paragraph" w:customStyle="1" w:styleId="E20A1134873D45619AB42FD0D0D61019">
    <w:name w:val="E20A1134873D45619AB42FD0D0D61019"/>
    <w:rsid w:val="00D32C50"/>
    <w:pPr>
      <w:bidi/>
    </w:pPr>
  </w:style>
  <w:style w:type="paragraph" w:customStyle="1" w:styleId="9E48C2675EED46D0B991866DAB3FA662">
    <w:name w:val="9E48C2675EED46D0B991866DAB3FA662"/>
    <w:rsid w:val="00D32C50"/>
    <w:pPr>
      <w:bidi/>
    </w:pPr>
  </w:style>
  <w:style w:type="paragraph" w:customStyle="1" w:styleId="D751A6C050764866BA03E94DCCCFA119">
    <w:name w:val="D751A6C050764866BA03E94DCCCFA119"/>
    <w:rsid w:val="00D32C5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847</Words>
  <Characters>4240</Characters>
  <Application>Microsoft Office Word</Application>
  <DocSecurity>0</DocSecurity>
  <Lines>35</Lines>
  <Paragraphs>10</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גרמאו מנגיסטו</cp:lastModifiedBy>
  <cp:revision>2</cp:revision>
  <cp:lastPrinted>2021-12-30T11:23:00Z</cp:lastPrinted>
  <dcterms:created xsi:type="dcterms:W3CDTF">2024-09-29T13:47:00Z</dcterms:created>
  <dcterms:modified xsi:type="dcterms:W3CDTF">2024-09-29T13:47:00Z</dcterms:modified>
</cp:coreProperties>
</file>